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3B299">
      <w:pPr>
        <w:pStyle w:val="3"/>
        <w:keepNext/>
        <w:keepLines w:val="0"/>
        <w:pageBreakBefore w:val="0"/>
        <w:widowControl/>
        <w:kinsoku/>
        <w:wordWrap w:val="0"/>
        <w:overflowPunct/>
        <w:topLinePunct w:val="0"/>
        <w:autoSpaceDE/>
        <w:autoSpaceDN/>
        <w:bidi w:val="0"/>
        <w:adjustRightInd/>
        <w:snapToGrid/>
        <w:spacing w:before="0" w:after="0" w:line="578" w:lineRule="exact"/>
        <w:jc w:val="center"/>
        <w:textAlignment w:val="auto"/>
        <w:rPr>
          <w:rFonts w:hint="default" w:ascii="Times New Roman" w:hAnsi="Times New Roman" w:eastAsia="方正小标宋简体" w:cs="Times New Roman"/>
          <w:b/>
          <w:bCs/>
          <w:i w:val="0"/>
          <w:color w:val="000000"/>
          <w:sz w:val="44"/>
        </w:rPr>
      </w:pPr>
      <w:bookmarkStart w:id="0" w:name="_GoBack"/>
      <w:r>
        <w:rPr>
          <w:rFonts w:hint="default" w:ascii="Times New Roman" w:hAnsi="Times New Roman" w:eastAsia="方正小标宋简体" w:cs="Times New Roman"/>
          <w:b/>
          <w:bCs/>
          <w:i w:val="0"/>
          <w:color w:val="000000"/>
          <w:sz w:val="44"/>
        </w:rPr>
        <w:t>达州市中药材产地加工（趁鲜切制）</w:t>
      </w:r>
    </w:p>
    <w:p w14:paraId="17EC3A01">
      <w:pPr>
        <w:pStyle w:val="3"/>
        <w:keepNext/>
        <w:keepLines w:val="0"/>
        <w:pageBreakBefore w:val="0"/>
        <w:widowControl/>
        <w:kinsoku/>
        <w:wordWrap w:val="0"/>
        <w:overflowPunct/>
        <w:topLinePunct w:val="0"/>
        <w:autoSpaceDE/>
        <w:autoSpaceDN/>
        <w:bidi w:val="0"/>
        <w:adjustRightInd/>
        <w:snapToGrid/>
        <w:spacing w:before="0" w:after="0" w:line="578" w:lineRule="exact"/>
        <w:jc w:val="center"/>
        <w:textAlignment w:val="auto"/>
        <w:rPr>
          <w:rFonts w:hint="default" w:ascii="Times New Roman" w:hAnsi="Times New Roman" w:eastAsia="方正小标宋简体" w:cs="Times New Roman"/>
          <w:b/>
          <w:bCs/>
          <w:i w:val="0"/>
          <w:color w:val="000000"/>
          <w:sz w:val="44"/>
        </w:rPr>
      </w:pPr>
      <w:r>
        <w:rPr>
          <w:rFonts w:hint="default" w:ascii="Times New Roman" w:hAnsi="Times New Roman" w:eastAsia="方正小标宋简体" w:cs="Times New Roman"/>
          <w:b/>
          <w:bCs/>
          <w:i w:val="0"/>
          <w:color w:val="000000"/>
          <w:sz w:val="44"/>
        </w:rPr>
        <w:t>企业遴选管理办法</w:t>
      </w:r>
    </w:p>
    <w:p w14:paraId="7F7063F2">
      <w:pPr>
        <w:keepLines w:val="0"/>
        <w:pageBreakBefore w:val="0"/>
        <w:widowControl/>
        <w:kinsoku/>
        <w:wordWrap w:val="0"/>
        <w:overflowPunct/>
        <w:topLinePunct w:val="0"/>
        <w:autoSpaceDE/>
        <w:autoSpaceDN/>
        <w:bidi w:val="0"/>
        <w:adjustRightInd/>
        <w:snapToGrid/>
        <w:spacing w:after="0" w:line="578" w:lineRule="exact"/>
        <w:jc w:val="center"/>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（征求意见稿）</w:t>
      </w:r>
      <w:bookmarkEnd w:id="0"/>
    </w:p>
    <w:p w14:paraId="19BA51FA">
      <w:pPr>
        <w:keepLines w:val="0"/>
        <w:pageBreakBefore w:val="0"/>
        <w:widowControl/>
        <w:kinsoku/>
        <w:wordWrap w:val="0"/>
        <w:overflowPunct/>
        <w:topLinePunct w:val="0"/>
        <w:autoSpaceDE/>
        <w:autoSpaceDN/>
        <w:bidi w:val="0"/>
        <w:adjustRightInd/>
        <w:snapToGrid/>
        <w:textAlignment w:val="auto"/>
        <w:rPr>
          <w:rFonts w:hint="default" w:ascii="Times New Roman" w:hAnsi="Times New Roman" w:cs="Times New Roman"/>
          <w:b/>
          <w:bCs/>
        </w:rPr>
      </w:pPr>
    </w:p>
    <w:p w14:paraId="2E1A910A">
      <w:pPr>
        <w:pStyle w:val="4"/>
        <w:keepLines w:val="0"/>
        <w:pageBreakBefore w:val="0"/>
        <w:widowControl/>
        <w:kinsoku/>
        <w:wordWrap w:val="0"/>
        <w:overflowPunct/>
        <w:topLinePunct w:val="0"/>
        <w:autoSpaceDE/>
        <w:autoSpaceDN/>
        <w:bidi w:val="0"/>
        <w:adjustRightInd/>
        <w:snapToGrid/>
        <w:spacing w:before="0" w:after="0" w:line="578" w:lineRule="exact"/>
        <w:jc w:val="center"/>
        <w:textAlignment w:val="auto"/>
        <w:rPr>
          <w:rFonts w:hint="default" w:ascii="Times New Roman" w:hAnsi="Times New Roman" w:eastAsia="黑体" w:cs="Times New Roman"/>
          <w:b/>
          <w:bCs/>
          <w:sz w:val="32"/>
          <w:szCs w:val="32"/>
        </w:rPr>
      </w:pPr>
      <w:r>
        <w:rPr>
          <w:rFonts w:hint="default" w:ascii="Times New Roman" w:hAnsi="Times New Roman" w:eastAsia="黑体" w:cs="Times New Roman"/>
          <w:b/>
          <w:bCs/>
          <w:i w:val="0"/>
          <w:color w:val="000000"/>
          <w:sz w:val="32"/>
          <w:szCs w:val="32"/>
        </w:rPr>
        <w:t>第一章  总则</w:t>
      </w:r>
    </w:p>
    <w:p w14:paraId="143172E4">
      <w:pPr>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default" w:ascii="Times New Roman" w:hAnsi="Times New Roman" w:eastAsia="方正仿宋_GB2312" w:cs="Times New Roman"/>
          <w:b/>
          <w:bCs/>
          <w:sz w:val="32"/>
          <w:szCs w:val="32"/>
        </w:rPr>
      </w:pPr>
      <w:r>
        <w:rPr>
          <w:rFonts w:hint="eastAsia" w:ascii="楷体_GB2312" w:hAnsi="楷体_GB2312" w:eastAsia="楷体_GB2312" w:cs="楷体_GB2312"/>
          <w:b/>
          <w:bCs/>
          <w:sz w:val="32"/>
          <w:szCs w:val="32"/>
        </w:rPr>
        <w:t>第一条</w:t>
      </w:r>
      <w:r>
        <w:rPr>
          <w:rFonts w:hint="default" w:ascii="Times New Roman" w:hAnsi="Times New Roman" w:eastAsia="方正仿宋_GB2312" w:cs="Times New Roman"/>
          <w:b/>
          <w:bCs/>
          <w:sz w:val="32"/>
          <w:szCs w:val="32"/>
        </w:rPr>
        <w:t xml:space="preserve">  为规范达州市中药材产地加工（趁鲜切制）企业遴选管理，提升中药材质量，促进中医药产业高质量发展，依据《中华人民共和国药品管理法》《中华人民共和国中医药法》《中药生产监督管理专门规定》（2025年第79号）、《四川省药品监督管理局关于进一步完善产地加工中药材管理有关事宜的公告》（2026年第7号）等法律法规</w:t>
      </w:r>
      <w:r>
        <w:rPr>
          <w:rFonts w:hint="eastAsia" w:ascii="Times New Roman" w:hAnsi="Times New Roman" w:eastAsia="方正仿宋_GB2312" w:cs="Times New Roman"/>
          <w:b/>
          <w:bCs/>
          <w:sz w:val="32"/>
          <w:szCs w:val="32"/>
          <w:lang w:eastAsia="zh-CN"/>
        </w:rPr>
        <w:t>和</w:t>
      </w:r>
      <w:r>
        <w:rPr>
          <w:rFonts w:hint="default" w:ascii="Times New Roman" w:hAnsi="Times New Roman" w:eastAsia="方正仿宋_GB2312" w:cs="Times New Roman"/>
          <w:b/>
          <w:bCs/>
          <w:sz w:val="32"/>
          <w:szCs w:val="32"/>
        </w:rPr>
        <w:t>文件精神，结合达州实际，制定本办法。</w:t>
      </w:r>
    </w:p>
    <w:p w14:paraId="7569F3CA">
      <w:pPr>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default" w:ascii="Times New Roman" w:hAnsi="Times New Roman" w:eastAsia="方正仿宋_GB2312" w:cs="Times New Roman"/>
          <w:b/>
          <w:bCs/>
          <w:sz w:val="32"/>
          <w:szCs w:val="32"/>
        </w:rPr>
      </w:pPr>
      <w:r>
        <w:rPr>
          <w:rFonts w:hint="default" w:ascii="楷体_GB2312" w:hAnsi="楷体_GB2312" w:eastAsia="楷体_GB2312" w:cs="楷体_GB2312"/>
          <w:b/>
          <w:bCs/>
          <w:sz w:val="32"/>
          <w:szCs w:val="32"/>
        </w:rPr>
        <w:t xml:space="preserve">第二条 </w:t>
      </w:r>
      <w:r>
        <w:rPr>
          <w:rFonts w:hint="default" w:ascii="Times New Roman" w:hAnsi="Times New Roman" w:eastAsia="方正仿宋_GB2312" w:cs="Times New Roman"/>
          <w:b/>
          <w:bCs/>
          <w:sz w:val="32"/>
          <w:szCs w:val="32"/>
        </w:rPr>
        <w:t xml:space="preserve"> 本办法适用于达州市行政区域内中药材产地加工（趁鲜切制）企业（以下简称</w:t>
      </w:r>
      <w:r>
        <w:rPr>
          <w:rFonts w:hint="default" w:ascii="Times New Roman" w:hAnsi="Times New Roman" w:eastAsia="方正仿宋_GB2312" w:cs="Times New Roman"/>
          <w:b/>
          <w:bCs/>
          <w:sz w:val="32"/>
          <w:szCs w:val="32"/>
          <w:lang w:eastAsia="zh-CN"/>
        </w:rPr>
        <w:t>“鲜切加工企业”</w:t>
      </w:r>
      <w:r>
        <w:rPr>
          <w:rFonts w:hint="default" w:ascii="Times New Roman" w:hAnsi="Times New Roman" w:eastAsia="方正仿宋_GB2312" w:cs="Times New Roman"/>
          <w:b/>
          <w:bCs/>
          <w:sz w:val="32"/>
          <w:szCs w:val="32"/>
        </w:rPr>
        <w:t>）的遴选、动态管理与监督。遵循</w:t>
      </w:r>
      <w:r>
        <w:rPr>
          <w:rFonts w:hint="default" w:ascii="Times New Roman" w:hAnsi="Times New Roman" w:eastAsia="方正仿宋_GB2312" w:cs="Times New Roman"/>
          <w:b/>
          <w:bCs/>
          <w:sz w:val="32"/>
          <w:szCs w:val="32"/>
          <w:lang w:eastAsia="zh-CN"/>
        </w:rPr>
        <w:t>“质量优先、择优遴选、动态管理、公开透明”</w:t>
      </w:r>
      <w:r>
        <w:rPr>
          <w:rFonts w:hint="default" w:ascii="Times New Roman" w:hAnsi="Times New Roman" w:eastAsia="方正仿宋_GB2312" w:cs="Times New Roman"/>
          <w:b/>
          <w:bCs/>
          <w:sz w:val="32"/>
          <w:szCs w:val="32"/>
        </w:rPr>
        <w:t>的原则，实行自愿申报、综合评审、持续监管的机制。</w:t>
      </w:r>
    </w:p>
    <w:p w14:paraId="750EAF0F">
      <w:pPr>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eastAsia" w:ascii="Times New Roman" w:hAnsi="Times New Roman" w:eastAsia="方正仿宋_GB2312" w:cs="Times New Roman"/>
          <w:b/>
          <w:bCs/>
          <w:sz w:val="32"/>
          <w:szCs w:val="32"/>
          <w:lang w:eastAsia="zh-CN"/>
        </w:rPr>
      </w:pPr>
      <w:r>
        <w:rPr>
          <w:rFonts w:hint="default" w:ascii="楷体_GB2312" w:hAnsi="楷体_GB2312" w:eastAsia="楷体_GB2312" w:cs="楷体_GB2312"/>
          <w:b/>
          <w:bCs/>
          <w:sz w:val="32"/>
          <w:szCs w:val="32"/>
        </w:rPr>
        <w:t>第三条</w:t>
      </w:r>
      <w:r>
        <w:rPr>
          <w:rFonts w:hint="default" w:ascii="Times New Roman" w:hAnsi="Times New Roman" w:eastAsia="方正仿宋_GB2312" w:cs="Times New Roman"/>
          <w:b/>
          <w:bCs/>
          <w:sz w:val="32"/>
          <w:szCs w:val="32"/>
        </w:rPr>
        <w:t xml:space="preserve">  本办法所称产地趁鲜切制中药材（以下简称</w:t>
      </w:r>
      <w:r>
        <w:rPr>
          <w:rFonts w:hint="default" w:ascii="Times New Roman" w:hAnsi="Times New Roman" w:eastAsia="方正仿宋_GB2312" w:cs="Times New Roman"/>
          <w:b/>
          <w:bCs/>
          <w:sz w:val="32"/>
          <w:szCs w:val="32"/>
          <w:lang w:eastAsia="zh-CN"/>
        </w:rPr>
        <w:t>“鲜切药材”</w:t>
      </w:r>
      <w:r>
        <w:rPr>
          <w:rFonts w:hint="default" w:ascii="Times New Roman" w:hAnsi="Times New Roman" w:eastAsia="方正仿宋_GB2312" w:cs="Times New Roman"/>
          <w:b/>
          <w:bCs/>
          <w:sz w:val="32"/>
          <w:szCs w:val="32"/>
        </w:rPr>
        <w:t>），是指在达州市行政区域内种植、采收，经净制、切制、干燥等工序加工制成的片、段、块、丝等形态的药用原料。加工品种应当符合以下要求之一</w:t>
      </w:r>
      <w:r>
        <w:rPr>
          <w:rFonts w:hint="eastAsia" w:ascii="Times New Roman" w:hAnsi="Times New Roman" w:eastAsia="方正仿宋_GB2312" w:cs="Times New Roman"/>
          <w:b/>
          <w:bCs/>
          <w:sz w:val="32"/>
          <w:szCs w:val="32"/>
          <w:lang w:eastAsia="zh-CN"/>
        </w:rPr>
        <w:t>。</w:t>
      </w:r>
    </w:p>
    <w:p w14:paraId="1E599DA5">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（一）</w:t>
      </w:r>
      <w:r>
        <w:rPr>
          <w:rFonts w:hint="default" w:ascii="Times New Roman" w:hAnsi="Times New Roman" w:eastAsia="方正仿宋_GB2312" w:cs="Times New Roman"/>
          <w:b/>
          <w:bCs/>
          <w:sz w:val="32"/>
          <w:szCs w:val="32"/>
        </w:rPr>
        <w:t>国家药品标准</w:t>
      </w:r>
      <w:r>
        <w:rPr>
          <w:rFonts w:hint="eastAsia" w:ascii="Times New Roman" w:hAnsi="Times New Roman" w:eastAsia="方正仿宋_GB2312" w:cs="Times New Roman"/>
          <w:b/>
          <w:bCs/>
          <w:sz w:val="32"/>
          <w:szCs w:val="32"/>
          <w:lang w:eastAsia="zh-CN"/>
        </w:rPr>
        <w:t>、四川省中药饮片炮制规范和四川省中药材标准</w:t>
      </w:r>
      <w:r>
        <w:rPr>
          <w:rFonts w:hint="default" w:ascii="Times New Roman" w:hAnsi="Times New Roman" w:eastAsia="方正仿宋_GB2312" w:cs="Times New Roman"/>
          <w:b/>
          <w:bCs/>
          <w:sz w:val="32"/>
          <w:szCs w:val="32"/>
        </w:rPr>
        <w:t>已收载且载明趁鲜切制工序的中药材品种。</w:t>
      </w:r>
    </w:p>
    <w:p w14:paraId="5820C7AE">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（二）</w:t>
      </w:r>
      <w:r>
        <w:rPr>
          <w:rFonts w:hint="default" w:ascii="Times New Roman" w:hAnsi="Times New Roman" w:eastAsia="方正仿宋_GB2312" w:cs="Times New Roman"/>
          <w:b/>
          <w:bCs/>
          <w:sz w:val="32"/>
          <w:szCs w:val="32"/>
        </w:rPr>
        <w:t>《四川省中药材产地加工（趁鲜切制）品种目录》收载的品种。</w:t>
      </w:r>
    </w:p>
    <w:p w14:paraId="6DA99B62">
      <w:pPr>
        <w:pStyle w:val="4"/>
        <w:keepLines w:val="0"/>
        <w:pageBreakBefore w:val="0"/>
        <w:widowControl/>
        <w:kinsoku/>
        <w:wordWrap w:val="0"/>
        <w:overflowPunct/>
        <w:topLinePunct w:val="0"/>
        <w:autoSpaceDE/>
        <w:autoSpaceDN/>
        <w:bidi w:val="0"/>
        <w:adjustRightInd/>
        <w:snapToGrid/>
        <w:spacing w:before="0" w:after="0" w:line="578" w:lineRule="exact"/>
        <w:jc w:val="center"/>
        <w:textAlignment w:val="auto"/>
        <w:rPr>
          <w:rFonts w:hint="default" w:ascii="Times New Roman" w:hAnsi="Times New Roman" w:eastAsia="黑体" w:cs="Times New Roman"/>
          <w:b/>
          <w:bCs/>
          <w:i w:val="0"/>
          <w:color w:val="000000"/>
          <w:sz w:val="32"/>
          <w:szCs w:val="32"/>
        </w:rPr>
      </w:pPr>
    </w:p>
    <w:p w14:paraId="7879ECB0">
      <w:pPr>
        <w:pStyle w:val="4"/>
        <w:keepLines w:val="0"/>
        <w:pageBreakBefore w:val="0"/>
        <w:widowControl/>
        <w:kinsoku/>
        <w:wordWrap w:val="0"/>
        <w:overflowPunct/>
        <w:topLinePunct w:val="0"/>
        <w:autoSpaceDE/>
        <w:autoSpaceDN/>
        <w:bidi w:val="0"/>
        <w:adjustRightInd/>
        <w:snapToGrid/>
        <w:spacing w:before="0" w:after="0" w:line="578" w:lineRule="exact"/>
        <w:jc w:val="center"/>
        <w:textAlignment w:val="auto"/>
        <w:rPr>
          <w:rFonts w:hint="default" w:ascii="Times New Roman" w:hAnsi="Times New Roman" w:eastAsia="方正仿宋_GB2312" w:cs="Times New Roman"/>
          <w:b/>
          <w:bCs/>
          <w:sz w:val="32"/>
          <w:szCs w:val="32"/>
        </w:rPr>
      </w:pPr>
      <w:r>
        <w:rPr>
          <w:rFonts w:hint="default" w:ascii="Times New Roman" w:hAnsi="Times New Roman" w:eastAsia="黑体" w:cs="Times New Roman"/>
          <w:b/>
          <w:bCs/>
          <w:i w:val="0"/>
          <w:color w:val="000000"/>
          <w:sz w:val="32"/>
          <w:szCs w:val="32"/>
        </w:rPr>
        <w:t>第二章  职责分工</w:t>
      </w:r>
    </w:p>
    <w:p w14:paraId="6B00393F">
      <w:pPr>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default" w:ascii="Times New Roman" w:hAnsi="Times New Roman" w:eastAsia="方正仿宋_GB2312" w:cs="Times New Roman"/>
          <w:b/>
          <w:bCs/>
          <w:sz w:val="32"/>
          <w:szCs w:val="32"/>
        </w:rPr>
      </w:pPr>
      <w:r>
        <w:rPr>
          <w:rFonts w:hint="default" w:ascii="楷体_GB2312" w:hAnsi="楷体_GB2312" w:eastAsia="楷体_GB2312" w:cs="楷体_GB2312"/>
          <w:b/>
          <w:bCs/>
          <w:sz w:val="32"/>
          <w:szCs w:val="32"/>
        </w:rPr>
        <w:t xml:space="preserve">第四条 </w:t>
      </w:r>
      <w:r>
        <w:rPr>
          <w:rFonts w:hint="default" w:ascii="Times New Roman" w:hAnsi="Times New Roman" w:eastAsia="方正仿宋_GB2312" w:cs="Times New Roman"/>
          <w:b/>
          <w:bCs/>
          <w:sz w:val="32"/>
          <w:szCs w:val="32"/>
        </w:rPr>
        <w:t xml:space="preserve"> 市市场监督管理局和市中医药管理局是鲜切加工企业遴选的牵头组织单位，共同负责本办法的组织实施。</w:t>
      </w:r>
    </w:p>
    <w:p w14:paraId="7AF3F1D7">
      <w:pPr>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eastAsia" w:ascii="Times New Roman" w:hAnsi="Times New Roman" w:eastAsia="方正仿宋_GB2312" w:cs="Times New Roman"/>
          <w:b/>
          <w:bCs/>
          <w:sz w:val="32"/>
          <w:szCs w:val="32"/>
          <w:lang w:eastAsia="zh-CN"/>
        </w:rPr>
      </w:pPr>
      <w:r>
        <w:rPr>
          <w:rFonts w:hint="default" w:ascii="楷体_GB2312" w:hAnsi="楷体_GB2312" w:eastAsia="楷体_GB2312" w:cs="楷体_GB2312"/>
          <w:b/>
          <w:bCs/>
          <w:sz w:val="32"/>
          <w:szCs w:val="32"/>
        </w:rPr>
        <w:t xml:space="preserve">第五条 </w:t>
      </w:r>
      <w:r>
        <w:rPr>
          <w:rFonts w:hint="default" w:ascii="Times New Roman" w:hAnsi="Times New Roman" w:eastAsia="方正仿宋_GB2312" w:cs="Times New Roman"/>
          <w:b/>
          <w:bCs/>
          <w:sz w:val="32"/>
          <w:szCs w:val="32"/>
        </w:rPr>
        <w:t xml:space="preserve"> 部门职责</w:t>
      </w:r>
      <w:r>
        <w:rPr>
          <w:rFonts w:hint="eastAsia" w:ascii="Times New Roman" w:hAnsi="Times New Roman" w:eastAsia="方正仿宋_GB2312" w:cs="Times New Roman"/>
          <w:b/>
          <w:bCs/>
          <w:sz w:val="32"/>
          <w:szCs w:val="32"/>
          <w:lang w:eastAsia="zh-CN"/>
        </w:rPr>
        <w:t>。</w:t>
      </w:r>
    </w:p>
    <w:p w14:paraId="0AA0D193">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val="en-US" w:eastAsia="zh-CN"/>
        </w:rPr>
        <w:t>（一）</w:t>
      </w:r>
      <w:r>
        <w:rPr>
          <w:rFonts w:hint="default" w:ascii="Times New Roman" w:hAnsi="Times New Roman" w:eastAsia="方正仿宋_GB2312" w:cs="Times New Roman"/>
          <w:b/>
          <w:bCs/>
          <w:sz w:val="32"/>
          <w:szCs w:val="32"/>
        </w:rPr>
        <w:t>市市场监督管理局</w:t>
      </w:r>
      <w:r>
        <w:rPr>
          <w:rFonts w:hint="eastAsia" w:ascii="Times New Roman" w:hAnsi="Times New Roman" w:eastAsia="方正仿宋_GB2312" w:cs="Times New Roman"/>
          <w:b/>
          <w:bCs/>
          <w:sz w:val="32"/>
          <w:szCs w:val="32"/>
          <w:lang w:eastAsia="zh-CN"/>
        </w:rPr>
        <w:t>。</w:t>
      </w:r>
      <w:r>
        <w:rPr>
          <w:rFonts w:hint="default" w:ascii="Times New Roman" w:hAnsi="Times New Roman" w:eastAsia="方正仿宋_GB2312" w:cs="Times New Roman"/>
          <w:b/>
          <w:bCs/>
          <w:sz w:val="32"/>
          <w:szCs w:val="32"/>
        </w:rPr>
        <w:t>负责指导企业质量管理体系建设，牵头组织申报材料复审</w:t>
      </w:r>
      <w:r>
        <w:rPr>
          <w:rFonts w:hint="eastAsia" w:ascii="Times New Roman" w:hAnsi="Times New Roman" w:eastAsia="方正仿宋_GB2312" w:cs="Times New Roman"/>
          <w:b/>
          <w:bCs/>
          <w:sz w:val="32"/>
          <w:szCs w:val="32"/>
          <w:lang w:eastAsia="zh-CN"/>
        </w:rPr>
        <w:t>、</w:t>
      </w:r>
      <w:r>
        <w:rPr>
          <w:rFonts w:hint="default" w:ascii="Times New Roman" w:hAnsi="Times New Roman" w:eastAsia="方正仿宋_GB2312" w:cs="Times New Roman"/>
          <w:b/>
          <w:bCs/>
          <w:sz w:val="32"/>
          <w:szCs w:val="32"/>
        </w:rPr>
        <w:t>集中评议</w:t>
      </w:r>
      <w:r>
        <w:rPr>
          <w:rFonts w:hint="eastAsia" w:ascii="Times New Roman" w:hAnsi="Times New Roman" w:eastAsia="方正仿宋_GB2312" w:cs="Times New Roman"/>
          <w:b/>
          <w:bCs/>
          <w:sz w:val="32"/>
          <w:szCs w:val="32"/>
          <w:lang w:eastAsia="zh-CN"/>
        </w:rPr>
        <w:t>、</w:t>
      </w:r>
      <w:r>
        <w:rPr>
          <w:rFonts w:hint="default" w:ascii="Times New Roman" w:hAnsi="Times New Roman" w:eastAsia="方正仿宋_GB2312" w:cs="Times New Roman"/>
          <w:b/>
          <w:bCs/>
          <w:sz w:val="32"/>
          <w:szCs w:val="32"/>
        </w:rPr>
        <w:t>现场核查，负责入选企业的日常监管，依法查处违法违规行为。</w:t>
      </w:r>
    </w:p>
    <w:p w14:paraId="7C0094B7">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eastAsia" w:ascii="Times New Roman" w:hAnsi="Times New Roman" w:eastAsia="方正仿宋_GB2312" w:cs="Times New Roman"/>
          <w:b/>
          <w:bCs/>
          <w:sz w:val="32"/>
          <w:szCs w:val="32"/>
          <w:lang w:eastAsia="zh-CN"/>
        </w:rPr>
      </w:pPr>
      <w:r>
        <w:rPr>
          <w:rFonts w:hint="eastAsia" w:ascii="Times New Roman" w:hAnsi="Times New Roman" w:eastAsia="方正仿宋_GB2312" w:cs="Times New Roman"/>
          <w:b/>
          <w:bCs/>
          <w:sz w:val="32"/>
          <w:szCs w:val="32"/>
          <w:lang w:eastAsia="zh-CN"/>
        </w:rPr>
        <w:t>（二）</w:t>
      </w:r>
      <w:r>
        <w:rPr>
          <w:rFonts w:hint="default" w:ascii="Times New Roman" w:hAnsi="Times New Roman" w:eastAsia="方正仿宋_GB2312" w:cs="Times New Roman"/>
          <w:b/>
          <w:bCs/>
          <w:sz w:val="32"/>
          <w:szCs w:val="32"/>
        </w:rPr>
        <w:t>市中医药管理局</w:t>
      </w:r>
      <w:r>
        <w:rPr>
          <w:rFonts w:hint="eastAsia" w:ascii="Times New Roman" w:hAnsi="Times New Roman" w:eastAsia="方正仿宋_GB2312" w:cs="Times New Roman"/>
          <w:b/>
          <w:bCs/>
          <w:sz w:val="32"/>
          <w:szCs w:val="32"/>
          <w:lang w:eastAsia="zh-CN"/>
        </w:rPr>
        <w:t>。</w:t>
      </w:r>
      <w:r>
        <w:rPr>
          <w:rFonts w:hint="default" w:ascii="Times New Roman" w:hAnsi="Times New Roman" w:eastAsia="方正仿宋_GB2312" w:cs="Times New Roman"/>
          <w:b/>
          <w:bCs/>
          <w:sz w:val="32"/>
          <w:szCs w:val="32"/>
        </w:rPr>
        <w:t>建设达州市中药材质量追溯平台</w:t>
      </w:r>
      <w:r>
        <w:rPr>
          <w:rFonts w:hint="eastAsia" w:ascii="Times New Roman" w:hAnsi="Times New Roman" w:eastAsia="方正仿宋_GB2312" w:cs="Times New Roman"/>
          <w:b/>
          <w:bCs/>
          <w:sz w:val="32"/>
          <w:szCs w:val="32"/>
          <w:lang w:eastAsia="zh-CN"/>
        </w:rPr>
        <w:t>，协助开展申报材料复审、集中评议、现场核查。</w:t>
      </w:r>
    </w:p>
    <w:p w14:paraId="225EFD67">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lang w:eastAsia="zh-CN"/>
        </w:rPr>
      </w:pPr>
      <w:r>
        <w:rPr>
          <w:rFonts w:hint="eastAsia" w:ascii="Times New Roman" w:hAnsi="Times New Roman" w:eastAsia="方正仿宋_GB2312" w:cs="Times New Roman"/>
          <w:b/>
          <w:bCs/>
          <w:sz w:val="32"/>
          <w:szCs w:val="32"/>
          <w:lang w:eastAsia="zh-CN"/>
        </w:rPr>
        <w:t>（三）</w:t>
      </w:r>
      <w:r>
        <w:rPr>
          <w:rFonts w:hint="default" w:ascii="Times New Roman" w:hAnsi="Times New Roman" w:eastAsia="方正仿宋_GB2312" w:cs="Times New Roman"/>
          <w:b/>
          <w:bCs/>
          <w:sz w:val="32"/>
          <w:szCs w:val="32"/>
        </w:rPr>
        <w:t>各县（市、区）市场监管部门与中医药主管部门</w:t>
      </w:r>
      <w:r>
        <w:rPr>
          <w:rFonts w:hint="eastAsia" w:ascii="Times New Roman" w:hAnsi="Times New Roman" w:eastAsia="方正仿宋_GB2312" w:cs="Times New Roman"/>
          <w:b/>
          <w:bCs/>
          <w:sz w:val="32"/>
          <w:szCs w:val="32"/>
          <w:lang w:eastAsia="zh-CN"/>
        </w:rPr>
        <w:t>。</w:t>
      </w:r>
      <w:r>
        <w:rPr>
          <w:rFonts w:hint="default" w:ascii="Times New Roman" w:hAnsi="Times New Roman" w:eastAsia="方正仿宋_GB2312" w:cs="Times New Roman"/>
          <w:b/>
          <w:bCs/>
          <w:sz w:val="32"/>
          <w:szCs w:val="32"/>
        </w:rPr>
        <w:t>负责辖区内企业申报的受理与材料初审</w:t>
      </w:r>
      <w:r>
        <w:rPr>
          <w:rFonts w:hint="eastAsia" w:ascii="Times New Roman" w:hAnsi="Times New Roman" w:eastAsia="方正仿宋_GB2312" w:cs="Times New Roman"/>
          <w:b/>
          <w:bCs/>
          <w:sz w:val="32"/>
          <w:szCs w:val="32"/>
          <w:lang w:eastAsia="zh-CN"/>
        </w:rPr>
        <w:t>，负责趁鲜加工企业的</w:t>
      </w:r>
      <w:r>
        <w:rPr>
          <w:rFonts w:hint="default" w:ascii="Times New Roman" w:hAnsi="Times New Roman" w:eastAsia="方正仿宋_GB2312" w:cs="Times New Roman"/>
          <w:b/>
          <w:bCs/>
          <w:sz w:val="32"/>
          <w:szCs w:val="32"/>
        </w:rPr>
        <w:t>日常监督检查</w:t>
      </w:r>
      <w:r>
        <w:rPr>
          <w:rFonts w:hint="eastAsia" w:ascii="Times New Roman" w:hAnsi="Times New Roman" w:eastAsia="方正仿宋_GB2312" w:cs="Times New Roman"/>
          <w:b/>
          <w:bCs/>
          <w:sz w:val="32"/>
          <w:szCs w:val="32"/>
          <w:lang w:eastAsia="zh-CN"/>
        </w:rPr>
        <w:t>，</w:t>
      </w:r>
      <w:r>
        <w:rPr>
          <w:rFonts w:hint="default" w:ascii="Times New Roman" w:hAnsi="Times New Roman" w:eastAsia="方正仿宋_GB2312" w:cs="Times New Roman"/>
          <w:b/>
          <w:bCs/>
          <w:sz w:val="32"/>
          <w:szCs w:val="32"/>
        </w:rPr>
        <w:t>配合开展现场核查</w:t>
      </w:r>
      <w:r>
        <w:rPr>
          <w:rFonts w:hint="eastAsia" w:ascii="Times New Roman" w:hAnsi="Times New Roman" w:eastAsia="方正仿宋_GB2312" w:cs="Times New Roman"/>
          <w:b/>
          <w:bCs/>
          <w:sz w:val="32"/>
          <w:szCs w:val="32"/>
          <w:lang w:eastAsia="zh-CN"/>
        </w:rPr>
        <w:t>。</w:t>
      </w:r>
    </w:p>
    <w:p w14:paraId="20623740">
      <w:pPr>
        <w:pStyle w:val="4"/>
        <w:keepLines w:val="0"/>
        <w:pageBreakBefore w:val="0"/>
        <w:widowControl/>
        <w:kinsoku/>
        <w:wordWrap w:val="0"/>
        <w:overflowPunct/>
        <w:topLinePunct w:val="0"/>
        <w:autoSpaceDE/>
        <w:autoSpaceDN/>
        <w:bidi w:val="0"/>
        <w:adjustRightInd/>
        <w:snapToGrid/>
        <w:spacing w:before="0" w:after="0" w:line="578" w:lineRule="exact"/>
        <w:jc w:val="center"/>
        <w:textAlignment w:val="auto"/>
        <w:rPr>
          <w:rFonts w:hint="default" w:ascii="Times New Roman" w:hAnsi="Times New Roman" w:eastAsia="黑体" w:cs="Times New Roman"/>
          <w:b/>
          <w:bCs/>
          <w:i w:val="0"/>
          <w:color w:val="000000"/>
          <w:sz w:val="32"/>
          <w:szCs w:val="32"/>
        </w:rPr>
      </w:pPr>
    </w:p>
    <w:p w14:paraId="01CD0A87">
      <w:pPr>
        <w:pStyle w:val="4"/>
        <w:keepLines w:val="0"/>
        <w:pageBreakBefore w:val="0"/>
        <w:widowControl/>
        <w:kinsoku/>
        <w:wordWrap w:val="0"/>
        <w:overflowPunct/>
        <w:topLinePunct w:val="0"/>
        <w:autoSpaceDE/>
        <w:autoSpaceDN/>
        <w:bidi w:val="0"/>
        <w:adjustRightInd/>
        <w:snapToGrid/>
        <w:spacing w:before="0" w:after="0" w:line="578" w:lineRule="exact"/>
        <w:jc w:val="center"/>
        <w:textAlignment w:val="auto"/>
        <w:rPr>
          <w:rFonts w:hint="default" w:ascii="Times New Roman" w:hAnsi="Times New Roman" w:eastAsia="黑体" w:cs="Times New Roman"/>
          <w:b/>
          <w:bCs/>
          <w:i w:val="0"/>
          <w:color w:val="000000"/>
          <w:sz w:val="32"/>
          <w:szCs w:val="32"/>
        </w:rPr>
      </w:pPr>
      <w:r>
        <w:rPr>
          <w:rFonts w:hint="default" w:ascii="Times New Roman" w:hAnsi="Times New Roman" w:eastAsia="黑体" w:cs="Times New Roman"/>
          <w:b/>
          <w:bCs/>
          <w:i w:val="0"/>
          <w:color w:val="000000"/>
          <w:sz w:val="32"/>
          <w:szCs w:val="32"/>
        </w:rPr>
        <w:t>第三章  申报条件</w:t>
      </w:r>
    </w:p>
    <w:p w14:paraId="31EDECB3">
      <w:pPr>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eastAsia" w:ascii="Times New Roman" w:hAnsi="Times New Roman" w:eastAsia="方正仿宋_GB2312" w:cs="Times New Roman"/>
          <w:b/>
          <w:bCs/>
          <w:sz w:val="32"/>
          <w:szCs w:val="32"/>
          <w:lang w:eastAsia="zh-CN"/>
        </w:rPr>
      </w:pPr>
      <w:r>
        <w:rPr>
          <w:rFonts w:hint="default" w:ascii="楷体_GB2312" w:hAnsi="楷体_GB2312" w:eastAsia="楷体_GB2312" w:cs="楷体_GB2312"/>
          <w:b/>
          <w:bCs/>
          <w:sz w:val="32"/>
          <w:szCs w:val="32"/>
        </w:rPr>
        <w:t>第六条</w:t>
      </w:r>
      <w:r>
        <w:rPr>
          <w:rFonts w:hint="default" w:ascii="Times New Roman" w:hAnsi="Times New Roman" w:eastAsia="方正仿宋_GB2312" w:cs="Times New Roman"/>
          <w:b/>
          <w:bCs/>
          <w:sz w:val="32"/>
          <w:szCs w:val="32"/>
        </w:rPr>
        <w:t xml:space="preserve">  申报鲜切加工企业应当同时具备以下条件</w:t>
      </w:r>
      <w:r>
        <w:rPr>
          <w:rFonts w:hint="eastAsia" w:ascii="Times New Roman" w:hAnsi="Times New Roman" w:eastAsia="方正仿宋_GB2312" w:cs="Times New Roman"/>
          <w:b/>
          <w:bCs/>
          <w:sz w:val="32"/>
          <w:szCs w:val="32"/>
          <w:lang w:eastAsia="zh-CN"/>
        </w:rPr>
        <w:t>。</w:t>
      </w:r>
    </w:p>
    <w:p w14:paraId="48016A69">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（一）</w:t>
      </w:r>
      <w:r>
        <w:rPr>
          <w:rFonts w:hint="default" w:ascii="Times New Roman" w:hAnsi="Times New Roman" w:eastAsia="方正仿宋_GB2312" w:cs="Times New Roman"/>
          <w:b/>
          <w:bCs/>
          <w:sz w:val="32"/>
          <w:szCs w:val="32"/>
        </w:rPr>
        <w:t>申报企业为达州市行政区域内依法登记注册、从事中药材种植、采购、加工、生产的企业，具有独立法人资格。</w:t>
      </w:r>
    </w:p>
    <w:p w14:paraId="523256BD">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（二）</w:t>
      </w:r>
      <w:r>
        <w:rPr>
          <w:rFonts w:hint="default" w:ascii="Times New Roman" w:hAnsi="Times New Roman" w:eastAsia="方正仿宋_GB2312" w:cs="Times New Roman"/>
          <w:b/>
          <w:bCs/>
          <w:sz w:val="32"/>
          <w:szCs w:val="32"/>
        </w:rPr>
        <w:t>申报前一年内无重大质量安全事故、无生产安全责任事故，无因违法违规被行政处罚的记录。</w:t>
      </w:r>
    </w:p>
    <w:p w14:paraId="77755EB5">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（三）</w:t>
      </w:r>
      <w:r>
        <w:rPr>
          <w:rFonts w:hint="default" w:ascii="Times New Roman" w:hAnsi="Times New Roman" w:eastAsia="方正仿宋_GB2312" w:cs="Times New Roman"/>
          <w:b/>
          <w:bCs/>
          <w:sz w:val="32"/>
          <w:szCs w:val="32"/>
        </w:rPr>
        <w:t>已自建或已加入达州市中药材质量追溯体系。</w:t>
      </w:r>
    </w:p>
    <w:p w14:paraId="1E856A08">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（四）</w:t>
      </w:r>
      <w:r>
        <w:rPr>
          <w:rFonts w:hint="default" w:ascii="Times New Roman" w:hAnsi="Times New Roman" w:eastAsia="方正仿宋_GB2312" w:cs="Times New Roman"/>
          <w:b/>
          <w:bCs/>
          <w:sz w:val="32"/>
          <w:szCs w:val="32"/>
        </w:rPr>
        <w:t>具备与加工规模、加工品种相适应的生产场地及相关设施设备，选址符合环保及安全生产相关要求。</w:t>
      </w:r>
    </w:p>
    <w:p w14:paraId="1CAB39B7">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（五）</w:t>
      </w:r>
      <w:r>
        <w:rPr>
          <w:rFonts w:hint="default" w:ascii="Times New Roman" w:hAnsi="Times New Roman" w:eastAsia="方正仿宋_GB2312" w:cs="Times New Roman"/>
          <w:b/>
          <w:bCs/>
          <w:sz w:val="32"/>
          <w:szCs w:val="32"/>
        </w:rPr>
        <w:t>具备健全的质量管理体系，配备与生产规模相适应的管理和技术人员，生产或质量负责人具备中药材真伪鉴别能力、中药材加工经验及相关法律法规知识。</w:t>
      </w:r>
    </w:p>
    <w:p w14:paraId="311D0813">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（六）</w:t>
      </w:r>
      <w:r>
        <w:rPr>
          <w:rFonts w:hint="default" w:ascii="Times New Roman" w:hAnsi="Times New Roman" w:eastAsia="方正仿宋_GB2312" w:cs="Times New Roman"/>
          <w:b/>
          <w:bCs/>
          <w:sz w:val="32"/>
          <w:szCs w:val="32"/>
        </w:rPr>
        <w:t>能够按照《四川省中药材产地加工（趁鲜切制）质量管理指南（试行）》制定并执行具体品种的趁鲜切制加工工艺规程和质量标准。</w:t>
      </w:r>
    </w:p>
    <w:p w14:paraId="5FD28E19">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（七）</w:t>
      </w:r>
      <w:r>
        <w:rPr>
          <w:rFonts w:hint="default" w:ascii="Times New Roman" w:hAnsi="Times New Roman" w:eastAsia="方正仿宋_GB2312" w:cs="Times New Roman"/>
          <w:b/>
          <w:bCs/>
          <w:sz w:val="32"/>
          <w:szCs w:val="32"/>
        </w:rPr>
        <w:t>申报加工品种在</w:t>
      </w:r>
      <w:r>
        <w:rPr>
          <w:rFonts w:hint="eastAsia" w:ascii="Times New Roman" w:hAnsi="Times New Roman" w:eastAsia="方正仿宋_GB2312" w:cs="Times New Roman"/>
          <w:b/>
          <w:bCs/>
          <w:sz w:val="32"/>
          <w:szCs w:val="32"/>
          <w:lang w:eastAsia="zh-CN"/>
        </w:rPr>
        <w:t>达州</w:t>
      </w:r>
      <w:r>
        <w:rPr>
          <w:rFonts w:hint="default" w:ascii="Times New Roman" w:hAnsi="Times New Roman" w:eastAsia="方正仿宋_GB2312" w:cs="Times New Roman"/>
          <w:b/>
          <w:bCs/>
          <w:sz w:val="32"/>
          <w:szCs w:val="32"/>
        </w:rPr>
        <w:t>市行政区域内具有较大规模种植。</w:t>
      </w:r>
    </w:p>
    <w:p w14:paraId="23550368">
      <w:pPr>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eastAsia" w:ascii="Times New Roman" w:hAnsi="Times New Roman" w:eastAsia="方正仿宋_GB2312" w:cs="Times New Roman"/>
          <w:b/>
          <w:bCs/>
          <w:sz w:val="32"/>
          <w:szCs w:val="32"/>
          <w:lang w:eastAsia="zh-CN"/>
        </w:rPr>
      </w:pPr>
      <w:r>
        <w:rPr>
          <w:rFonts w:hint="default" w:ascii="楷体_GB2312" w:hAnsi="楷体_GB2312" w:eastAsia="楷体_GB2312" w:cs="楷体_GB2312"/>
          <w:b/>
          <w:bCs/>
          <w:sz w:val="32"/>
          <w:szCs w:val="32"/>
        </w:rPr>
        <w:t>第七条</w:t>
      </w:r>
      <w:r>
        <w:rPr>
          <w:rFonts w:hint="default" w:ascii="Times New Roman" w:hAnsi="Times New Roman" w:eastAsia="方正仿宋_GB2312" w:cs="Times New Roman"/>
          <w:b/>
          <w:bCs/>
          <w:sz w:val="32"/>
          <w:szCs w:val="32"/>
        </w:rPr>
        <w:t xml:space="preserve">  申报企业应当提交以下材料</w:t>
      </w:r>
      <w:r>
        <w:rPr>
          <w:rFonts w:hint="eastAsia" w:ascii="Times New Roman" w:hAnsi="Times New Roman" w:eastAsia="方正仿宋_GB2312" w:cs="Times New Roman"/>
          <w:b/>
          <w:bCs/>
          <w:sz w:val="32"/>
          <w:szCs w:val="32"/>
          <w:lang w:eastAsia="zh-CN"/>
        </w:rPr>
        <w:t>。</w:t>
      </w:r>
    </w:p>
    <w:p w14:paraId="03173490">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（一）</w:t>
      </w:r>
      <w:r>
        <w:rPr>
          <w:rFonts w:hint="default" w:ascii="Times New Roman" w:hAnsi="Times New Roman" w:eastAsia="方正仿宋_GB2312" w:cs="Times New Roman"/>
          <w:b/>
          <w:bCs/>
          <w:sz w:val="32"/>
          <w:szCs w:val="32"/>
        </w:rPr>
        <w:t>中药材产地加工（趁鲜切制）企业遴选申请表。</w:t>
      </w:r>
    </w:p>
    <w:p w14:paraId="7F52D513">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（二）</w:t>
      </w:r>
      <w:r>
        <w:rPr>
          <w:rFonts w:hint="default" w:ascii="Times New Roman" w:hAnsi="Times New Roman" w:eastAsia="方正仿宋_GB2312" w:cs="Times New Roman"/>
          <w:b/>
          <w:bCs/>
          <w:sz w:val="32"/>
          <w:szCs w:val="32"/>
        </w:rPr>
        <w:t>企业营业执照复印件、企业简介、法定代表人及主要负责人、质量管理人员情况。</w:t>
      </w:r>
    </w:p>
    <w:p w14:paraId="14604466">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（三）</w:t>
      </w:r>
      <w:r>
        <w:rPr>
          <w:rFonts w:hint="default" w:ascii="Times New Roman" w:hAnsi="Times New Roman" w:eastAsia="方正仿宋_GB2312" w:cs="Times New Roman"/>
          <w:b/>
          <w:bCs/>
          <w:sz w:val="32"/>
          <w:szCs w:val="32"/>
        </w:rPr>
        <w:t>生产场地所有权或使用权证明，主要设施设备清单及照片。</w:t>
      </w:r>
    </w:p>
    <w:p w14:paraId="73908DC2">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（四）</w:t>
      </w:r>
      <w:r>
        <w:rPr>
          <w:rFonts w:hint="default" w:ascii="Times New Roman" w:hAnsi="Times New Roman" w:eastAsia="方正仿宋_GB2312" w:cs="Times New Roman"/>
          <w:b/>
          <w:bCs/>
          <w:sz w:val="32"/>
          <w:szCs w:val="32"/>
        </w:rPr>
        <w:t>拟加工品种的质量标准、趁鲜切制加工工艺规程。</w:t>
      </w:r>
    </w:p>
    <w:p w14:paraId="37C80EFC">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（五）</w:t>
      </w:r>
      <w:r>
        <w:rPr>
          <w:rFonts w:hint="default" w:ascii="Times New Roman" w:hAnsi="Times New Roman" w:eastAsia="方正仿宋_GB2312" w:cs="Times New Roman"/>
          <w:b/>
          <w:bCs/>
          <w:sz w:val="32"/>
          <w:szCs w:val="32"/>
        </w:rPr>
        <w:t>质量管理体系文件目录及关键管理制度文本。</w:t>
      </w:r>
    </w:p>
    <w:p w14:paraId="461ED066">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（六）</w:t>
      </w:r>
      <w:r>
        <w:rPr>
          <w:rFonts w:hint="default" w:ascii="Times New Roman" w:hAnsi="Times New Roman" w:eastAsia="方正仿宋_GB2312" w:cs="Times New Roman"/>
          <w:b/>
          <w:bCs/>
          <w:sz w:val="32"/>
          <w:szCs w:val="32"/>
        </w:rPr>
        <w:t>中药材质量追溯体系建设或接入情况说明。</w:t>
      </w:r>
    </w:p>
    <w:p w14:paraId="3AEA79EA">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（七）</w:t>
      </w:r>
      <w:r>
        <w:rPr>
          <w:rFonts w:hint="default" w:ascii="Times New Roman" w:hAnsi="Times New Roman" w:eastAsia="方正仿宋_GB2312" w:cs="Times New Roman"/>
          <w:b/>
          <w:bCs/>
          <w:sz w:val="32"/>
          <w:szCs w:val="32"/>
        </w:rPr>
        <w:t>申报材料真实性承诺书。</w:t>
      </w:r>
    </w:p>
    <w:p w14:paraId="1AD845F7">
      <w:pPr>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default" w:ascii="Times New Roman" w:hAnsi="Times New Roman" w:eastAsia="方正仿宋_GB2312" w:cs="Times New Roman"/>
          <w:b/>
          <w:bCs/>
          <w:sz w:val="32"/>
          <w:szCs w:val="32"/>
        </w:rPr>
      </w:pPr>
      <w:r>
        <w:rPr>
          <w:rFonts w:hint="default" w:ascii="Times New Roman" w:hAnsi="Times New Roman" w:eastAsia="方正仿宋_GB2312" w:cs="Times New Roman"/>
          <w:b/>
          <w:bCs/>
          <w:sz w:val="32"/>
          <w:szCs w:val="32"/>
        </w:rPr>
        <w:t>第八条  上述申报材料须按顺序装订成册（一式五份），完成签章后报送至所在地县（市、区）市场监管部门。</w:t>
      </w:r>
    </w:p>
    <w:p w14:paraId="39506714">
      <w:pPr>
        <w:pStyle w:val="4"/>
        <w:keepLines w:val="0"/>
        <w:pageBreakBefore w:val="0"/>
        <w:widowControl/>
        <w:kinsoku/>
        <w:wordWrap w:val="0"/>
        <w:overflowPunct/>
        <w:topLinePunct w:val="0"/>
        <w:autoSpaceDE/>
        <w:autoSpaceDN/>
        <w:bidi w:val="0"/>
        <w:adjustRightInd/>
        <w:snapToGrid/>
        <w:spacing w:before="0" w:after="0" w:line="578" w:lineRule="exact"/>
        <w:jc w:val="center"/>
        <w:textAlignment w:val="auto"/>
        <w:rPr>
          <w:rFonts w:hint="default" w:ascii="Times New Roman" w:hAnsi="Times New Roman" w:eastAsia="黑体" w:cs="Times New Roman"/>
          <w:b/>
          <w:bCs/>
          <w:i w:val="0"/>
          <w:color w:val="000000"/>
          <w:sz w:val="32"/>
          <w:szCs w:val="32"/>
        </w:rPr>
      </w:pPr>
    </w:p>
    <w:p w14:paraId="5BB59A73">
      <w:pPr>
        <w:pStyle w:val="4"/>
        <w:keepLines w:val="0"/>
        <w:pageBreakBefore w:val="0"/>
        <w:widowControl/>
        <w:kinsoku/>
        <w:wordWrap w:val="0"/>
        <w:overflowPunct/>
        <w:topLinePunct w:val="0"/>
        <w:autoSpaceDE/>
        <w:autoSpaceDN/>
        <w:bidi w:val="0"/>
        <w:adjustRightInd/>
        <w:snapToGrid/>
        <w:spacing w:before="0" w:after="0" w:line="578" w:lineRule="exact"/>
        <w:jc w:val="center"/>
        <w:textAlignment w:val="auto"/>
        <w:rPr>
          <w:rFonts w:hint="default" w:ascii="Times New Roman" w:hAnsi="Times New Roman" w:eastAsia="黑体" w:cs="Times New Roman"/>
          <w:b/>
          <w:bCs/>
          <w:i w:val="0"/>
          <w:color w:val="000000"/>
          <w:sz w:val="32"/>
          <w:szCs w:val="32"/>
        </w:rPr>
      </w:pPr>
      <w:r>
        <w:rPr>
          <w:rFonts w:hint="default" w:ascii="Times New Roman" w:hAnsi="Times New Roman" w:eastAsia="黑体" w:cs="Times New Roman"/>
          <w:b/>
          <w:bCs/>
          <w:i w:val="0"/>
          <w:color w:val="000000"/>
          <w:sz w:val="32"/>
          <w:szCs w:val="32"/>
        </w:rPr>
        <w:t>第四章  遴选程序</w:t>
      </w:r>
    </w:p>
    <w:p w14:paraId="13AFB27F">
      <w:pPr>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eastAsia" w:ascii="Times New Roman" w:hAnsi="Times New Roman" w:eastAsia="方正仿宋_GB2312" w:cs="Times New Roman"/>
          <w:b/>
          <w:bCs/>
          <w:sz w:val="32"/>
          <w:szCs w:val="32"/>
          <w:lang w:eastAsia="zh-CN"/>
        </w:rPr>
      </w:pPr>
      <w:r>
        <w:rPr>
          <w:rFonts w:hint="default" w:ascii="楷体_GB2312" w:hAnsi="楷体_GB2312" w:eastAsia="楷体_GB2312" w:cs="楷体_GB2312"/>
          <w:b/>
          <w:bCs/>
          <w:sz w:val="32"/>
          <w:szCs w:val="32"/>
        </w:rPr>
        <w:t>第九条</w:t>
      </w:r>
      <w:r>
        <w:rPr>
          <w:rFonts w:hint="default" w:ascii="Times New Roman" w:hAnsi="Times New Roman" w:eastAsia="方正仿宋_GB2312" w:cs="Times New Roman"/>
          <w:b/>
          <w:bCs/>
          <w:sz w:val="32"/>
          <w:szCs w:val="32"/>
        </w:rPr>
        <w:t xml:space="preserve">  鲜切加工企业遴选工作按照以下程序开展</w:t>
      </w:r>
      <w:r>
        <w:rPr>
          <w:rFonts w:hint="eastAsia" w:ascii="Times New Roman" w:hAnsi="Times New Roman" w:eastAsia="方正仿宋_GB2312" w:cs="Times New Roman"/>
          <w:b/>
          <w:bCs/>
          <w:sz w:val="32"/>
          <w:szCs w:val="32"/>
          <w:lang w:eastAsia="zh-CN"/>
        </w:rPr>
        <w:t>。</w:t>
      </w:r>
    </w:p>
    <w:p w14:paraId="23B1CA71">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（一）</w:t>
      </w:r>
      <w:r>
        <w:rPr>
          <w:rFonts w:hint="default" w:ascii="Times New Roman" w:hAnsi="Times New Roman" w:eastAsia="方正仿宋_GB2312" w:cs="Times New Roman"/>
          <w:b/>
          <w:bCs/>
          <w:sz w:val="32"/>
          <w:szCs w:val="32"/>
        </w:rPr>
        <w:t>企业申报。符合条件的企业向所在地县（市、区）市场监管部门提交申报材料。</w:t>
      </w:r>
    </w:p>
    <w:p w14:paraId="5D8B47BB">
      <w:pPr>
        <w:pStyle w:val="6"/>
        <w:keepNext w:val="0"/>
        <w:keepLines w:val="0"/>
        <w:pageBreakBefore w:val="0"/>
        <w:widowControl/>
        <w:numPr>
          <w:ilvl w:val="0"/>
          <w:numId w:val="0"/>
        </w:numPr>
        <w:kinsoku/>
        <w:wordWrap w:val="0"/>
        <w:overflowPunct/>
        <w:topLinePunct/>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（二）</w:t>
      </w:r>
      <w:r>
        <w:rPr>
          <w:rFonts w:hint="default" w:ascii="Times New Roman" w:hAnsi="Times New Roman" w:eastAsia="方正仿宋_GB2312" w:cs="Times New Roman"/>
          <w:b/>
          <w:bCs/>
          <w:sz w:val="32"/>
          <w:szCs w:val="32"/>
        </w:rPr>
        <w:t>县级初审。县（市、区）市场监管部门会同同级中医药主管部门在收到申报材料之日起10个工作日内，完成对申报材料的完整性、合规性初审。初审合格的，联合出具推荐函，连同申报材料报送至</w:t>
      </w:r>
      <w:r>
        <w:rPr>
          <w:rFonts w:hint="eastAsia" w:ascii="Times New Roman" w:hAnsi="Times New Roman" w:eastAsia="方正仿宋_GB2312" w:cs="Times New Roman"/>
          <w:b/>
          <w:bCs/>
          <w:sz w:val="32"/>
          <w:szCs w:val="32"/>
          <w:lang w:eastAsia="zh-CN"/>
        </w:rPr>
        <w:t>市市场监督管理局</w:t>
      </w:r>
      <w:r>
        <w:rPr>
          <w:rFonts w:hint="default" w:ascii="Times New Roman" w:hAnsi="Times New Roman" w:eastAsia="方正仿宋_GB2312" w:cs="Times New Roman"/>
          <w:b/>
          <w:bCs/>
          <w:sz w:val="32"/>
          <w:szCs w:val="32"/>
        </w:rPr>
        <w:t>。</w:t>
      </w:r>
    </w:p>
    <w:p w14:paraId="4AF177EB">
      <w:pPr>
        <w:pStyle w:val="6"/>
        <w:keepNext w:val="0"/>
        <w:keepLines w:val="0"/>
        <w:pageBreakBefore w:val="0"/>
        <w:widowControl/>
        <w:numPr>
          <w:ilvl w:val="0"/>
          <w:numId w:val="0"/>
        </w:numPr>
        <w:kinsoku/>
        <w:wordWrap w:val="0"/>
        <w:overflowPunct/>
        <w:topLinePunct/>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（三）</w:t>
      </w:r>
      <w:r>
        <w:rPr>
          <w:rFonts w:hint="default" w:ascii="Times New Roman" w:hAnsi="Times New Roman" w:eastAsia="方正仿宋_GB2312" w:cs="Times New Roman"/>
          <w:b/>
          <w:bCs/>
          <w:sz w:val="32"/>
          <w:szCs w:val="32"/>
        </w:rPr>
        <w:t>复审与集中评议。市市场监督管理局会同市中医药管理局在收到推荐材料之日起10个工作日内，组织完成复审与集中评议，形成进入现场核查的企业名单。</w:t>
      </w:r>
    </w:p>
    <w:p w14:paraId="566DFAE7">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（四）</w:t>
      </w:r>
      <w:r>
        <w:rPr>
          <w:rFonts w:hint="default" w:ascii="Times New Roman" w:hAnsi="Times New Roman" w:eastAsia="方正仿宋_GB2312" w:cs="Times New Roman"/>
          <w:b/>
          <w:bCs/>
          <w:sz w:val="32"/>
          <w:szCs w:val="32"/>
        </w:rPr>
        <w:t>现场核查。市市场监督管理局会同市中医药管理局组成评审组，在20个工作日内完成现场核查。核查依据《四川省中药材产地加工（趁鲜切制）质量管理指南（试行）》及本办法附件《中药材产地趁鲜加工检查表》执行。核查结论分为</w:t>
      </w:r>
      <w:r>
        <w:rPr>
          <w:rFonts w:hint="default" w:ascii="Times New Roman" w:hAnsi="Times New Roman" w:eastAsia="方正仿宋_GB2312" w:cs="Times New Roman"/>
          <w:b/>
          <w:bCs/>
          <w:sz w:val="32"/>
          <w:szCs w:val="32"/>
          <w:lang w:eastAsia="zh-CN"/>
        </w:rPr>
        <w:t>“通过”“</w:t>
      </w:r>
      <w:r>
        <w:rPr>
          <w:rFonts w:hint="default" w:ascii="Times New Roman" w:hAnsi="Times New Roman" w:eastAsia="方正仿宋_GB2312" w:cs="Times New Roman"/>
          <w:b/>
          <w:bCs/>
          <w:sz w:val="32"/>
          <w:szCs w:val="32"/>
        </w:rPr>
        <w:t>整改后通过</w:t>
      </w:r>
      <w:r>
        <w:rPr>
          <w:rFonts w:hint="default" w:ascii="Times New Roman" w:hAnsi="Times New Roman" w:eastAsia="方正仿宋_GB2312" w:cs="Times New Roman"/>
          <w:b/>
          <w:bCs/>
          <w:sz w:val="32"/>
          <w:szCs w:val="32"/>
          <w:lang w:eastAsia="zh-CN"/>
        </w:rPr>
        <w:t>”“不通过”</w:t>
      </w:r>
      <w:r>
        <w:rPr>
          <w:rFonts w:hint="default" w:ascii="Times New Roman" w:hAnsi="Times New Roman" w:eastAsia="方正仿宋_GB2312" w:cs="Times New Roman"/>
          <w:b/>
          <w:bCs/>
          <w:sz w:val="32"/>
          <w:szCs w:val="32"/>
        </w:rPr>
        <w:t>三类。</w:t>
      </w:r>
    </w:p>
    <w:p w14:paraId="09A7870B">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（五）</w:t>
      </w:r>
      <w:r>
        <w:rPr>
          <w:rFonts w:hint="default" w:ascii="Times New Roman" w:hAnsi="Times New Roman" w:eastAsia="方正仿宋_GB2312" w:cs="Times New Roman"/>
          <w:b/>
          <w:bCs/>
          <w:sz w:val="32"/>
          <w:szCs w:val="32"/>
        </w:rPr>
        <w:t>联合公示。核查结论为</w:t>
      </w:r>
      <w:r>
        <w:rPr>
          <w:rFonts w:hint="default" w:ascii="Times New Roman" w:hAnsi="Times New Roman" w:eastAsia="方正仿宋_GB2312" w:cs="Times New Roman"/>
          <w:b/>
          <w:bCs/>
          <w:sz w:val="32"/>
          <w:szCs w:val="32"/>
          <w:lang w:eastAsia="zh-CN"/>
        </w:rPr>
        <w:t>“通过”</w:t>
      </w:r>
      <w:r>
        <w:rPr>
          <w:rFonts w:hint="default" w:ascii="Times New Roman" w:hAnsi="Times New Roman" w:eastAsia="方正仿宋_GB2312" w:cs="Times New Roman"/>
          <w:b/>
          <w:bCs/>
          <w:sz w:val="32"/>
          <w:szCs w:val="32"/>
        </w:rPr>
        <w:t>或</w:t>
      </w:r>
      <w:r>
        <w:rPr>
          <w:rFonts w:hint="default" w:ascii="Times New Roman" w:hAnsi="Times New Roman" w:eastAsia="方正仿宋_GB2312" w:cs="Times New Roman"/>
          <w:b/>
          <w:bCs/>
          <w:sz w:val="32"/>
          <w:szCs w:val="32"/>
          <w:lang w:eastAsia="zh-CN"/>
        </w:rPr>
        <w:t>“整改后通过”</w:t>
      </w:r>
      <w:r>
        <w:rPr>
          <w:rFonts w:hint="default" w:ascii="Times New Roman" w:hAnsi="Times New Roman" w:eastAsia="方正仿宋_GB2312" w:cs="Times New Roman"/>
          <w:b/>
          <w:bCs/>
          <w:sz w:val="32"/>
          <w:szCs w:val="32"/>
        </w:rPr>
        <w:t>的，由市市场监督管理局会同市中医药管理局在官方网站进行联合公示，公示期不少于5个工作日。</w:t>
      </w:r>
    </w:p>
    <w:p w14:paraId="1C989451">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（六）</w:t>
      </w:r>
      <w:r>
        <w:rPr>
          <w:rFonts w:hint="default" w:ascii="Times New Roman" w:hAnsi="Times New Roman" w:eastAsia="方正仿宋_GB2312" w:cs="Times New Roman"/>
          <w:b/>
          <w:bCs/>
          <w:sz w:val="32"/>
          <w:szCs w:val="32"/>
        </w:rPr>
        <w:t>公布名单。公示无异议的，由市市场监督管理局会同市中医药管理局联合公布达州市中药材产地加工（趁鲜切制）企业名单。</w:t>
      </w:r>
    </w:p>
    <w:p w14:paraId="5DA4D6F4">
      <w:pPr>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default" w:ascii="Times New Roman" w:hAnsi="Times New Roman" w:eastAsia="方正仿宋_GB2312" w:cs="Times New Roman"/>
          <w:b/>
          <w:bCs/>
          <w:sz w:val="32"/>
          <w:szCs w:val="32"/>
        </w:rPr>
      </w:pPr>
      <w:r>
        <w:rPr>
          <w:rFonts w:hint="default" w:ascii="楷体_GB2312" w:hAnsi="楷体_GB2312" w:eastAsia="楷体_GB2312" w:cs="楷体_GB2312"/>
          <w:b/>
          <w:bCs/>
          <w:sz w:val="32"/>
          <w:szCs w:val="32"/>
        </w:rPr>
        <w:t>第十条</w:t>
      </w:r>
      <w:r>
        <w:rPr>
          <w:rFonts w:hint="default" w:ascii="Times New Roman" w:hAnsi="Times New Roman" w:eastAsia="方正仿宋_GB2312" w:cs="Times New Roman"/>
          <w:b/>
          <w:bCs/>
          <w:sz w:val="32"/>
          <w:szCs w:val="32"/>
        </w:rPr>
        <w:t xml:space="preserve">  现场核查结论为</w:t>
      </w:r>
      <w:r>
        <w:rPr>
          <w:rFonts w:hint="default" w:ascii="Times New Roman" w:hAnsi="Times New Roman" w:eastAsia="方正仿宋_GB2312" w:cs="Times New Roman"/>
          <w:b/>
          <w:bCs/>
          <w:sz w:val="32"/>
          <w:szCs w:val="32"/>
          <w:lang w:eastAsia="zh-CN"/>
        </w:rPr>
        <w:t>“整改后通过”</w:t>
      </w:r>
      <w:r>
        <w:rPr>
          <w:rFonts w:hint="default" w:ascii="Times New Roman" w:hAnsi="Times New Roman" w:eastAsia="方正仿宋_GB2312" w:cs="Times New Roman"/>
          <w:b/>
          <w:bCs/>
          <w:sz w:val="32"/>
          <w:szCs w:val="32"/>
        </w:rPr>
        <w:t>的，企业应当在收到整改通知之日起30日内完成整改并提交整改报告。逾期未完成整改或整改后仍不符合要求的，不予列入名单。</w:t>
      </w:r>
    </w:p>
    <w:p w14:paraId="2306BE65">
      <w:pPr>
        <w:keepLines w:val="0"/>
        <w:pageBreakBefore w:val="0"/>
        <w:widowControl/>
        <w:kinsoku/>
        <w:wordWrap w:val="0"/>
        <w:overflowPunct/>
        <w:topLinePunct w:val="0"/>
        <w:autoSpaceDE/>
        <w:autoSpaceDN/>
        <w:bidi w:val="0"/>
        <w:adjustRightInd/>
        <w:snapToGrid/>
        <w:spacing w:after="0" w:line="578" w:lineRule="exact"/>
        <w:textAlignment w:val="auto"/>
        <w:rPr>
          <w:rFonts w:hint="default" w:ascii="Times New Roman" w:hAnsi="Times New Roman" w:eastAsia="方正仿宋_GB2312" w:cs="Times New Roman"/>
          <w:b/>
          <w:bCs/>
          <w:sz w:val="32"/>
          <w:szCs w:val="32"/>
        </w:rPr>
      </w:pPr>
    </w:p>
    <w:p w14:paraId="6AF90F4F">
      <w:pPr>
        <w:keepLines w:val="0"/>
        <w:pageBreakBefore w:val="0"/>
        <w:widowControl/>
        <w:kinsoku/>
        <w:wordWrap w:val="0"/>
        <w:overflowPunct/>
        <w:topLinePunct w:val="0"/>
        <w:autoSpaceDE/>
        <w:autoSpaceDN/>
        <w:bidi w:val="0"/>
        <w:adjustRightInd/>
        <w:snapToGrid/>
        <w:spacing w:after="0" w:line="578" w:lineRule="exact"/>
        <w:jc w:val="center"/>
        <w:textAlignment w:val="auto"/>
        <w:rPr>
          <w:rFonts w:hint="default" w:ascii="Times New Roman" w:hAnsi="Times New Roman" w:eastAsia="黑体" w:cs="Times New Roman"/>
          <w:b/>
          <w:bCs/>
          <w:i w:val="0"/>
          <w:color w:val="000000"/>
          <w:sz w:val="32"/>
          <w:szCs w:val="32"/>
        </w:rPr>
      </w:pPr>
      <w:r>
        <w:rPr>
          <w:rFonts w:hint="default" w:ascii="Times New Roman" w:hAnsi="Times New Roman" w:eastAsia="黑体" w:cs="Times New Roman"/>
          <w:b/>
          <w:bCs/>
          <w:i w:val="0"/>
          <w:color w:val="000000"/>
          <w:sz w:val="32"/>
          <w:szCs w:val="32"/>
        </w:rPr>
        <w:t>第五章  动态管理</w:t>
      </w:r>
    </w:p>
    <w:p w14:paraId="00B54C94">
      <w:pPr>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default" w:ascii="Times New Roman" w:hAnsi="Times New Roman" w:eastAsia="方正仿宋_GB2312" w:cs="Times New Roman"/>
          <w:b/>
          <w:bCs/>
          <w:sz w:val="32"/>
          <w:szCs w:val="32"/>
        </w:rPr>
      </w:pPr>
      <w:r>
        <w:rPr>
          <w:rFonts w:hint="default" w:ascii="楷体_GB2312" w:hAnsi="楷体_GB2312" w:eastAsia="楷体_GB2312" w:cs="楷体_GB2312"/>
          <w:b/>
          <w:bCs/>
          <w:sz w:val="32"/>
          <w:szCs w:val="32"/>
        </w:rPr>
        <w:t>第十一条</w:t>
      </w:r>
      <w:r>
        <w:rPr>
          <w:rFonts w:hint="default" w:ascii="Times New Roman" w:hAnsi="Times New Roman" w:eastAsia="方正仿宋_GB2312" w:cs="Times New Roman"/>
          <w:b/>
          <w:bCs/>
          <w:sz w:val="32"/>
          <w:szCs w:val="32"/>
        </w:rPr>
        <w:t xml:space="preserve">  鲜切加工企业名单实行动态管理，不设终身制。市、县两级</w:t>
      </w:r>
      <w:r>
        <w:rPr>
          <w:rFonts w:hint="eastAsia" w:ascii="Times New Roman" w:hAnsi="Times New Roman" w:eastAsia="方正仿宋_GB2312" w:cs="Times New Roman"/>
          <w:b/>
          <w:bCs/>
          <w:sz w:val="32"/>
          <w:szCs w:val="32"/>
          <w:lang w:eastAsia="zh-CN"/>
        </w:rPr>
        <w:t>市场监督管理</w:t>
      </w:r>
      <w:r>
        <w:rPr>
          <w:rFonts w:hint="default" w:ascii="Times New Roman" w:hAnsi="Times New Roman" w:eastAsia="方正仿宋_GB2312" w:cs="Times New Roman"/>
          <w:b/>
          <w:bCs/>
          <w:sz w:val="32"/>
          <w:szCs w:val="32"/>
        </w:rPr>
        <w:t>部门对已列入名单的企业开展定期监督检查和监督抽检。</w:t>
      </w:r>
    </w:p>
    <w:p w14:paraId="30E2DE3E">
      <w:pPr>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default" w:ascii="Times New Roman" w:hAnsi="Times New Roman" w:eastAsia="方正仿宋_GB2312" w:cs="Times New Roman"/>
          <w:b/>
          <w:bCs/>
          <w:sz w:val="32"/>
          <w:szCs w:val="32"/>
        </w:rPr>
      </w:pPr>
      <w:r>
        <w:rPr>
          <w:rFonts w:hint="default" w:ascii="楷体_GB2312" w:hAnsi="楷体_GB2312" w:eastAsia="楷体_GB2312" w:cs="楷体_GB2312"/>
          <w:b/>
          <w:bCs/>
          <w:sz w:val="32"/>
          <w:szCs w:val="32"/>
        </w:rPr>
        <w:t>第十二条</w:t>
      </w:r>
      <w:r>
        <w:rPr>
          <w:rFonts w:hint="default" w:ascii="Times New Roman" w:hAnsi="Times New Roman" w:eastAsia="方正仿宋_GB2312" w:cs="Times New Roman"/>
          <w:b/>
          <w:bCs/>
          <w:sz w:val="32"/>
          <w:szCs w:val="32"/>
        </w:rPr>
        <w:t xml:space="preserve">  已列入名单的企业应当于每年12月31日前，向所在地县（市、区）市场监管部门和中医药主管部门报送年度质量管理情况报告，内容包括：本年度鲜切药材加工品种、产量、销售去向、质量管理体系运行情况、质量追溯信息上传情况、接受各级监管检查及整改情况等。</w:t>
      </w:r>
    </w:p>
    <w:p w14:paraId="350911C0">
      <w:pPr>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eastAsia" w:ascii="Times New Roman" w:hAnsi="Times New Roman" w:eastAsia="方正仿宋_GB2312" w:cs="Times New Roman"/>
          <w:b/>
          <w:bCs/>
          <w:sz w:val="32"/>
          <w:szCs w:val="32"/>
          <w:lang w:eastAsia="zh-CN"/>
        </w:rPr>
      </w:pPr>
      <w:r>
        <w:rPr>
          <w:rFonts w:hint="default" w:ascii="楷体_GB2312" w:hAnsi="楷体_GB2312" w:eastAsia="楷体_GB2312" w:cs="楷体_GB2312"/>
          <w:b/>
          <w:bCs/>
          <w:sz w:val="32"/>
          <w:szCs w:val="32"/>
        </w:rPr>
        <w:t>第十三条</w:t>
      </w:r>
      <w:r>
        <w:rPr>
          <w:rFonts w:hint="default" w:ascii="Times New Roman" w:hAnsi="Times New Roman" w:eastAsia="方正仿宋_GB2312" w:cs="Times New Roman"/>
          <w:b/>
          <w:bCs/>
          <w:sz w:val="32"/>
          <w:szCs w:val="32"/>
        </w:rPr>
        <w:t xml:space="preserve">  建立严格的退出机制。已列入名单的企业出现以下情形之一的，由市市场监督管理局会同市中医药管理局将其移出名单，并向社会公告</w:t>
      </w:r>
      <w:r>
        <w:rPr>
          <w:rFonts w:hint="eastAsia" w:ascii="Times New Roman" w:hAnsi="Times New Roman" w:eastAsia="方正仿宋_GB2312" w:cs="Times New Roman"/>
          <w:b/>
          <w:bCs/>
          <w:sz w:val="32"/>
          <w:szCs w:val="32"/>
          <w:lang w:eastAsia="zh-CN"/>
        </w:rPr>
        <w:t>。</w:t>
      </w:r>
    </w:p>
    <w:p w14:paraId="438C4C77">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eastAsia" w:ascii="Times New Roman" w:hAnsi="Times New Roman" w:eastAsia="方正仿宋_GB2312" w:cs="Times New Roman"/>
          <w:b/>
          <w:bCs/>
          <w:sz w:val="32"/>
          <w:szCs w:val="32"/>
          <w:lang w:eastAsia="zh-CN"/>
        </w:rPr>
      </w:pPr>
      <w:r>
        <w:rPr>
          <w:rFonts w:hint="eastAsia" w:ascii="Times New Roman" w:hAnsi="Times New Roman" w:eastAsia="方正仿宋_GB2312" w:cs="Times New Roman"/>
          <w:b/>
          <w:bCs/>
          <w:sz w:val="32"/>
          <w:szCs w:val="32"/>
          <w:lang w:eastAsia="zh-CN"/>
        </w:rPr>
        <w:t>（一）</w:t>
      </w:r>
      <w:r>
        <w:rPr>
          <w:rFonts w:hint="default" w:ascii="Times New Roman" w:hAnsi="Times New Roman" w:eastAsia="方正仿宋_GB2312" w:cs="Times New Roman"/>
          <w:b/>
          <w:bCs/>
          <w:sz w:val="32"/>
          <w:szCs w:val="32"/>
        </w:rPr>
        <w:t>不配合相关监管部门开展监督检查和监督抽检的</w:t>
      </w:r>
      <w:r>
        <w:rPr>
          <w:rFonts w:hint="eastAsia" w:ascii="Times New Roman" w:hAnsi="Times New Roman" w:eastAsia="方正仿宋_GB2312" w:cs="Times New Roman"/>
          <w:b/>
          <w:bCs/>
          <w:sz w:val="32"/>
          <w:szCs w:val="32"/>
          <w:lang w:eastAsia="zh-CN"/>
        </w:rPr>
        <w:t>；</w:t>
      </w:r>
    </w:p>
    <w:p w14:paraId="4D793F1E">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eastAsia" w:ascii="Times New Roman" w:hAnsi="Times New Roman" w:eastAsia="方正仿宋_GB2312" w:cs="Times New Roman"/>
          <w:b/>
          <w:bCs/>
          <w:sz w:val="32"/>
          <w:szCs w:val="32"/>
          <w:lang w:eastAsia="zh-CN"/>
        </w:rPr>
      </w:pPr>
      <w:r>
        <w:rPr>
          <w:rFonts w:hint="eastAsia" w:ascii="Times New Roman" w:hAnsi="Times New Roman" w:eastAsia="方正仿宋_GB2312" w:cs="Times New Roman"/>
          <w:b/>
          <w:bCs/>
          <w:sz w:val="32"/>
          <w:szCs w:val="32"/>
          <w:lang w:eastAsia="zh-CN"/>
        </w:rPr>
        <w:t>（二）</w:t>
      </w:r>
      <w:r>
        <w:rPr>
          <w:rFonts w:hint="default" w:ascii="Times New Roman" w:hAnsi="Times New Roman" w:eastAsia="方正仿宋_GB2312" w:cs="Times New Roman"/>
          <w:b/>
          <w:bCs/>
          <w:sz w:val="32"/>
          <w:szCs w:val="32"/>
        </w:rPr>
        <w:t>监督抽检不合格，或生产、销售假冒伪劣产品的</w:t>
      </w:r>
      <w:r>
        <w:rPr>
          <w:rFonts w:hint="eastAsia" w:ascii="Times New Roman" w:hAnsi="Times New Roman" w:eastAsia="方正仿宋_GB2312" w:cs="Times New Roman"/>
          <w:b/>
          <w:bCs/>
          <w:sz w:val="32"/>
          <w:szCs w:val="32"/>
          <w:lang w:eastAsia="zh-CN"/>
        </w:rPr>
        <w:t>；</w:t>
      </w:r>
    </w:p>
    <w:p w14:paraId="0066DDD8">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eastAsia" w:ascii="Times New Roman" w:hAnsi="Times New Roman" w:eastAsia="方正仿宋_GB2312" w:cs="Times New Roman"/>
          <w:b/>
          <w:bCs/>
          <w:sz w:val="32"/>
          <w:szCs w:val="32"/>
          <w:lang w:eastAsia="zh-CN"/>
        </w:rPr>
      </w:pPr>
      <w:r>
        <w:rPr>
          <w:rFonts w:hint="eastAsia" w:ascii="Times New Roman" w:hAnsi="Times New Roman" w:eastAsia="方正仿宋_GB2312" w:cs="Times New Roman"/>
          <w:b/>
          <w:bCs/>
          <w:sz w:val="32"/>
          <w:szCs w:val="32"/>
          <w:lang w:eastAsia="zh-CN"/>
        </w:rPr>
        <w:t>（三）</w:t>
      </w:r>
      <w:r>
        <w:rPr>
          <w:rFonts w:hint="default" w:ascii="Times New Roman" w:hAnsi="Times New Roman" w:eastAsia="方正仿宋_GB2312" w:cs="Times New Roman"/>
          <w:b/>
          <w:bCs/>
          <w:sz w:val="32"/>
          <w:szCs w:val="32"/>
        </w:rPr>
        <w:t>以鲜切药材冒充中药饮片直接销售的</w:t>
      </w:r>
      <w:r>
        <w:rPr>
          <w:rFonts w:hint="eastAsia" w:ascii="Times New Roman" w:hAnsi="Times New Roman" w:eastAsia="方正仿宋_GB2312" w:cs="Times New Roman"/>
          <w:b/>
          <w:bCs/>
          <w:sz w:val="32"/>
          <w:szCs w:val="32"/>
          <w:lang w:eastAsia="zh-CN"/>
        </w:rPr>
        <w:t>；</w:t>
      </w:r>
    </w:p>
    <w:p w14:paraId="438B9DE0">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eastAsia" w:ascii="Times New Roman" w:hAnsi="Times New Roman" w:eastAsia="方正仿宋_GB2312" w:cs="Times New Roman"/>
          <w:b/>
          <w:bCs/>
          <w:sz w:val="32"/>
          <w:szCs w:val="32"/>
          <w:lang w:eastAsia="zh-CN"/>
        </w:rPr>
      </w:pPr>
      <w:r>
        <w:rPr>
          <w:rFonts w:hint="eastAsia" w:ascii="Times New Roman" w:hAnsi="Times New Roman" w:eastAsia="方正仿宋_GB2312" w:cs="Times New Roman"/>
          <w:b/>
          <w:bCs/>
          <w:sz w:val="32"/>
          <w:szCs w:val="32"/>
          <w:lang w:eastAsia="zh-CN"/>
        </w:rPr>
        <w:t>（四）</w:t>
      </w:r>
      <w:r>
        <w:rPr>
          <w:rFonts w:hint="default" w:ascii="Times New Roman" w:hAnsi="Times New Roman" w:eastAsia="方正仿宋_GB2312" w:cs="Times New Roman"/>
          <w:b/>
          <w:bCs/>
          <w:sz w:val="32"/>
          <w:szCs w:val="32"/>
        </w:rPr>
        <w:t>发生重大质量安全事故的</w:t>
      </w:r>
      <w:r>
        <w:rPr>
          <w:rFonts w:hint="eastAsia" w:ascii="Times New Roman" w:hAnsi="Times New Roman" w:eastAsia="方正仿宋_GB2312" w:cs="Times New Roman"/>
          <w:b/>
          <w:bCs/>
          <w:sz w:val="32"/>
          <w:szCs w:val="32"/>
          <w:lang w:eastAsia="zh-CN"/>
        </w:rPr>
        <w:t>；</w:t>
      </w:r>
    </w:p>
    <w:p w14:paraId="5A4E183F">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（五）</w:t>
      </w:r>
      <w:r>
        <w:rPr>
          <w:rFonts w:hint="default" w:ascii="Times New Roman" w:hAnsi="Times New Roman" w:eastAsia="方正仿宋_GB2312" w:cs="Times New Roman"/>
          <w:b/>
          <w:bCs/>
          <w:sz w:val="32"/>
          <w:szCs w:val="32"/>
        </w:rPr>
        <w:t>因违法犯罪被有关部门处罚的</w:t>
      </w:r>
      <w:r>
        <w:rPr>
          <w:rFonts w:hint="eastAsia" w:ascii="Times New Roman" w:hAnsi="Times New Roman" w:eastAsia="方正仿宋_GB2312" w:cs="Times New Roman"/>
          <w:b/>
          <w:bCs/>
          <w:sz w:val="32"/>
          <w:szCs w:val="32"/>
          <w:lang w:eastAsia="zh-CN"/>
        </w:rPr>
        <w:t>；</w:t>
      </w:r>
    </w:p>
    <w:p w14:paraId="6121AFFA">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eastAsia" w:ascii="Times New Roman" w:hAnsi="Times New Roman" w:eastAsia="方正仿宋_GB2312" w:cs="Times New Roman"/>
          <w:b/>
          <w:bCs/>
          <w:sz w:val="32"/>
          <w:szCs w:val="32"/>
          <w:lang w:eastAsia="zh-CN"/>
        </w:rPr>
      </w:pPr>
      <w:r>
        <w:rPr>
          <w:rFonts w:hint="eastAsia" w:ascii="Times New Roman" w:hAnsi="Times New Roman" w:eastAsia="方正仿宋_GB2312" w:cs="Times New Roman"/>
          <w:b/>
          <w:bCs/>
          <w:sz w:val="32"/>
          <w:szCs w:val="32"/>
          <w:lang w:eastAsia="zh-CN"/>
        </w:rPr>
        <w:t>（六）</w:t>
      </w:r>
      <w:r>
        <w:rPr>
          <w:rFonts w:hint="default" w:ascii="Times New Roman" w:hAnsi="Times New Roman" w:eastAsia="方正仿宋_GB2312" w:cs="Times New Roman"/>
          <w:b/>
          <w:bCs/>
          <w:sz w:val="32"/>
          <w:szCs w:val="32"/>
        </w:rPr>
        <w:t>自愿申请退出名单的</w:t>
      </w:r>
      <w:r>
        <w:rPr>
          <w:rFonts w:hint="eastAsia" w:ascii="Times New Roman" w:hAnsi="Times New Roman" w:eastAsia="方正仿宋_GB2312" w:cs="Times New Roman"/>
          <w:b/>
          <w:bCs/>
          <w:sz w:val="32"/>
          <w:szCs w:val="32"/>
          <w:lang w:eastAsia="zh-CN"/>
        </w:rPr>
        <w:t>；</w:t>
      </w:r>
    </w:p>
    <w:p w14:paraId="745A5D87">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（七）</w:t>
      </w:r>
      <w:r>
        <w:rPr>
          <w:rFonts w:hint="default" w:ascii="Times New Roman" w:hAnsi="Times New Roman" w:eastAsia="方正仿宋_GB2312" w:cs="Times New Roman"/>
          <w:b/>
          <w:bCs/>
          <w:sz w:val="32"/>
          <w:szCs w:val="32"/>
        </w:rPr>
        <w:t>连续两年未报送年度质量管理情况报告的</w:t>
      </w:r>
      <w:r>
        <w:rPr>
          <w:rFonts w:hint="eastAsia" w:ascii="Times New Roman" w:hAnsi="Times New Roman" w:eastAsia="方正仿宋_GB2312" w:cs="Times New Roman"/>
          <w:b/>
          <w:bCs/>
          <w:sz w:val="32"/>
          <w:szCs w:val="32"/>
          <w:lang w:eastAsia="zh-CN"/>
        </w:rPr>
        <w:t>；</w:t>
      </w:r>
    </w:p>
    <w:p w14:paraId="3760BBAE">
      <w:pPr>
        <w:pStyle w:val="6"/>
        <w:keepLines w:val="0"/>
        <w:pageBreakBefore w:val="0"/>
        <w:widowControl/>
        <w:numPr>
          <w:ilvl w:val="0"/>
          <w:numId w:val="0"/>
        </w:numPr>
        <w:kinsoku/>
        <w:wordWrap w:val="0"/>
        <w:overflowPunct/>
        <w:topLinePunct w:val="0"/>
        <w:autoSpaceDE/>
        <w:autoSpaceDN/>
        <w:bidi w:val="0"/>
        <w:adjustRightInd/>
        <w:snapToGrid/>
        <w:spacing w:after="0" w:line="578" w:lineRule="exact"/>
        <w:ind w:firstLine="643" w:firstLineChars="200"/>
        <w:textAlignment w:val="auto"/>
        <w:rPr>
          <w:rFonts w:hint="default" w:ascii="Times New Roman" w:hAnsi="Times New Roman" w:eastAsia="方正仿宋_GB2312" w:cs="Times New Roman"/>
          <w:b/>
          <w:bCs/>
          <w:sz w:val="32"/>
          <w:szCs w:val="32"/>
        </w:rPr>
      </w:pPr>
      <w:r>
        <w:rPr>
          <w:rFonts w:hint="eastAsia" w:ascii="Times New Roman" w:hAnsi="Times New Roman" w:eastAsia="方正仿宋_GB2312" w:cs="Times New Roman"/>
          <w:b/>
          <w:bCs/>
          <w:sz w:val="32"/>
          <w:szCs w:val="32"/>
          <w:lang w:eastAsia="zh-CN"/>
        </w:rPr>
        <w:t>（八）</w:t>
      </w:r>
      <w:r>
        <w:rPr>
          <w:rFonts w:hint="default" w:ascii="Times New Roman" w:hAnsi="Times New Roman" w:eastAsia="方正仿宋_GB2312" w:cs="Times New Roman"/>
          <w:b/>
          <w:bCs/>
          <w:sz w:val="32"/>
          <w:szCs w:val="32"/>
        </w:rPr>
        <w:t>其他不符合本办法规定且情节严重的情形。</w:t>
      </w:r>
    </w:p>
    <w:p w14:paraId="677B0531">
      <w:pPr>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default" w:ascii="Times New Roman" w:hAnsi="Times New Roman" w:eastAsia="方正仿宋_GB2312" w:cs="Times New Roman"/>
          <w:b/>
          <w:bCs/>
          <w:sz w:val="32"/>
          <w:szCs w:val="32"/>
        </w:rPr>
      </w:pPr>
      <w:r>
        <w:rPr>
          <w:rFonts w:hint="default" w:ascii="楷体_GB2312" w:hAnsi="楷体_GB2312" w:eastAsia="楷体_GB2312" w:cs="楷体_GB2312"/>
          <w:b/>
          <w:bCs/>
          <w:sz w:val="32"/>
          <w:szCs w:val="32"/>
        </w:rPr>
        <w:t>第十四条</w:t>
      </w:r>
      <w:r>
        <w:rPr>
          <w:rFonts w:hint="default" w:ascii="Times New Roman" w:hAnsi="Times New Roman" w:eastAsia="方正仿宋_GB2312" w:cs="Times New Roman"/>
          <w:b/>
          <w:bCs/>
          <w:sz w:val="32"/>
          <w:szCs w:val="32"/>
        </w:rPr>
        <w:t xml:space="preserve">  对移出名单的企业，自移出之日起一年内不得再次申报。</w:t>
      </w:r>
    </w:p>
    <w:p w14:paraId="6A79BD28">
      <w:pPr>
        <w:pStyle w:val="4"/>
        <w:keepLines w:val="0"/>
        <w:pageBreakBefore w:val="0"/>
        <w:widowControl/>
        <w:kinsoku/>
        <w:wordWrap w:val="0"/>
        <w:overflowPunct/>
        <w:topLinePunct w:val="0"/>
        <w:autoSpaceDE/>
        <w:autoSpaceDN/>
        <w:bidi w:val="0"/>
        <w:adjustRightInd/>
        <w:snapToGrid/>
        <w:spacing w:before="0" w:after="0" w:line="578" w:lineRule="exact"/>
        <w:jc w:val="center"/>
        <w:textAlignment w:val="auto"/>
        <w:rPr>
          <w:rFonts w:hint="default" w:ascii="Times New Roman" w:hAnsi="Times New Roman" w:eastAsia="黑体" w:cs="Times New Roman"/>
          <w:b/>
          <w:bCs/>
          <w:i w:val="0"/>
          <w:color w:val="000000"/>
          <w:sz w:val="32"/>
          <w:szCs w:val="32"/>
        </w:rPr>
      </w:pPr>
    </w:p>
    <w:p w14:paraId="4819BB2F">
      <w:pPr>
        <w:pStyle w:val="4"/>
        <w:keepLines w:val="0"/>
        <w:pageBreakBefore w:val="0"/>
        <w:widowControl/>
        <w:kinsoku/>
        <w:wordWrap w:val="0"/>
        <w:overflowPunct/>
        <w:topLinePunct w:val="0"/>
        <w:autoSpaceDE/>
        <w:autoSpaceDN/>
        <w:bidi w:val="0"/>
        <w:adjustRightInd/>
        <w:snapToGrid/>
        <w:spacing w:before="0" w:after="0" w:line="578" w:lineRule="exact"/>
        <w:jc w:val="center"/>
        <w:textAlignment w:val="auto"/>
        <w:rPr>
          <w:rFonts w:hint="default" w:ascii="Times New Roman" w:hAnsi="Times New Roman" w:eastAsia="黑体" w:cs="Times New Roman"/>
          <w:b/>
          <w:bCs/>
          <w:i w:val="0"/>
          <w:color w:val="000000"/>
          <w:sz w:val="32"/>
          <w:szCs w:val="32"/>
        </w:rPr>
      </w:pPr>
      <w:r>
        <w:rPr>
          <w:rFonts w:hint="default" w:ascii="Times New Roman" w:hAnsi="Times New Roman" w:eastAsia="黑体" w:cs="Times New Roman"/>
          <w:b/>
          <w:bCs/>
          <w:i w:val="0"/>
          <w:color w:val="000000"/>
          <w:sz w:val="32"/>
          <w:szCs w:val="32"/>
        </w:rPr>
        <w:t>第六章  监督管理</w:t>
      </w:r>
    </w:p>
    <w:p w14:paraId="6CF363FE">
      <w:pPr>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default" w:ascii="Times New Roman" w:hAnsi="Times New Roman" w:eastAsia="方正仿宋_GB2312" w:cs="Times New Roman"/>
          <w:b/>
          <w:bCs/>
          <w:sz w:val="32"/>
          <w:szCs w:val="32"/>
        </w:rPr>
      </w:pPr>
      <w:r>
        <w:rPr>
          <w:rFonts w:hint="default" w:ascii="楷体_GB2312" w:hAnsi="楷体_GB2312" w:eastAsia="楷体_GB2312" w:cs="楷体_GB2312"/>
          <w:b/>
          <w:bCs/>
          <w:sz w:val="32"/>
          <w:szCs w:val="32"/>
        </w:rPr>
        <w:t>第十五条</w:t>
      </w:r>
      <w:r>
        <w:rPr>
          <w:rFonts w:hint="default" w:ascii="Times New Roman" w:hAnsi="Times New Roman" w:eastAsia="方正仿宋_GB2312" w:cs="Times New Roman"/>
          <w:b/>
          <w:bCs/>
          <w:sz w:val="32"/>
          <w:szCs w:val="32"/>
        </w:rPr>
        <w:t xml:space="preserve">  市市场监督管理局和市中医药管理局负责统筹推进鲜切药材管理工作，指导各县（市、区）开展监督检查，协调解决工作中的困难和问题。</w:t>
      </w:r>
    </w:p>
    <w:p w14:paraId="09E7D520">
      <w:pPr>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default" w:ascii="Times New Roman" w:hAnsi="Times New Roman" w:eastAsia="方正仿宋_GB2312" w:cs="Times New Roman"/>
          <w:b/>
          <w:bCs/>
          <w:sz w:val="32"/>
          <w:szCs w:val="32"/>
        </w:rPr>
      </w:pPr>
      <w:r>
        <w:rPr>
          <w:rFonts w:hint="default" w:ascii="楷体_GB2312" w:hAnsi="楷体_GB2312" w:eastAsia="楷体_GB2312" w:cs="楷体_GB2312"/>
          <w:b/>
          <w:bCs/>
          <w:sz w:val="32"/>
          <w:szCs w:val="32"/>
        </w:rPr>
        <w:t>第十六条</w:t>
      </w:r>
      <w:r>
        <w:rPr>
          <w:rFonts w:hint="default" w:ascii="Times New Roman" w:hAnsi="Times New Roman" w:eastAsia="方正仿宋_GB2312" w:cs="Times New Roman"/>
          <w:b/>
          <w:bCs/>
          <w:sz w:val="32"/>
          <w:szCs w:val="32"/>
        </w:rPr>
        <w:t xml:space="preserve">  市场监督管理</w:t>
      </w:r>
      <w:r>
        <w:rPr>
          <w:rFonts w:hint="eastAsia" w:ascii="Times New Roman" w:hAnsi="Times New Roman" w:eastAsia="方正仿宋_GB2312" w:cs="Times New Roman"/>
          <w:b/>
          <w:bCs/>
          <w:sz w:val="32"/>
          <w:szCs w:val="32"/>
          <w:lang w:eastAsia="zh-CN"/>
        </w:rPr>
        <w:t>部门</w:t>
      </w:r>
      <w:r>
        <w:rPr>
          <w:rFonts w:hint="default" w:ascii="Times New Roman" w:hAnsi="Times New Roman" w:eastAsia="方正仿宋_GB2312" w:cs="Times New Roman"/>
          <w:b/>
          <w:bCs/>
          <w:sz w:val="32"/>
          <w:szCs w:val="32"/>
        </w:rPr>
        <w:t>应加强对使用鲜切药材的中药生产企业的监督检查，发现存在药品质量安全风险隐患的，依法依规采取风险控制措施；发现生产销售假劣药品等违法违规行为的，依法严厉查处。</w:t>
      </w:r>
    </w:p>
    <w:p w14:paraId="49ACB30D">
      <w:pPr>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default" w:ascii="Times New Roman" w:hAnsi="Times New Roman" w:eastAsia="方正仿宋_GB2312" w:cs="Times New Roman"/>
          <w:b/>
          <w:bCs/>
          <w:sz w:val="32"/>
          <w:szCs w:val="32"/>
        </w:rPr>
      </w:pPr>
      <w:r>
        <w:rPr>
          <w:rFonts w:hint="default" w:ascii="楷体_GB2312" w:hAnsi="楷体_GB2312" w:eastAsia="楷体_GB2312" w:cs="楷体_GB2312"/>
          <w:b/>
          <w:bCs/>
          <w:sz w:val="32"/>
          <w:szCs w:val="32"/>
        </w:rPr>
        <w:t>第十七条</w:t>
      </w:r>
      <w:r>
        <w:rPr>
          <w:rFonts w:hint="default" w:ascii="Times New Roman" w:hAnsi="Times New Roman" w:eastAsia="方正仿宋_GB2312" w:cs="Times New Roman"/>
          <w:b/>
          <w:bCs/>
          <w:sz w:val="32"/>
          <w:szCs w:val="32"/>
        </w:rPr>
        <w:t xml:space="preserve">  鼓励行业协会、社会组织和公众对鲜切加工企业进行社会监督。任何单位和个人发现企业存在违规行为的，可向市市场监督管理局或市中医药管理局投诉举报。</w:t>
      </w:r>
    </w:p>
    <w:p w14:paraId="125532B4">
      <w:pPr>
        <w:pStyle w:val="4"/>
        <w:keepLines w:val="0"/>
        <w:pageBreakBefore w:val="0"/>
        <w:widowControl/>
        <w:kinsoku/>
        <w:wordWrap w:val="0"/>
        <w:overflowPunct/>
        <w:topLinePunct w:val="0"/>
        <w:autoSpaceDE/>
        <w:autoSpaceDN/>
        <w:bidi w:val="0"/>
        <w:adjustRightInd/>
        <w:snapToGrid/>
        <w:spacing w:before="0" w:after="0" w:line="578" w:lineRule="exact"/>
        <w:jc w:val="center"/>
        <w:textAlignment w:val="auto"/>
        <w:rPr>
          <w:rFonts w:hint="default" w:ascii="Times New Roman" w:hAnsi="Times New Roman" w:eastAsia="黑体" w:cs="Times New Roman"/>
          <w:b/>
          <w:bCs/>
          <w:i w:val="0"/>
          <w:color w:val="000000"/>
          <w:sz w:val="32"/>
          <w:szCs w:val="32"/>
        </w:rPr>
      </w:pPr>
    </w:p>
    <w:p w14:paraId="0AC91A36">
      <w:pPr>
        <w:pStyle w:val="4"/>
        <w:keepLines w:val="0"/>
        <w:pageBreakBefore w:val="0"/>
        <w:widowControl/>
        <w:kinsoku/>
        <w:wordWrap w:val="0"/>
        <w:overflowPunct/>
        <w:topLinePunct w:val="0"/>
        <w:autoSpaceDE/>
        <w:autoSpaceDN/>
        <w:bidi w:val="0"/>
        <w:adjustRightInd/>
        <w:snapToGrid/>
        <w:spacing w:before="0" w:after="0" w:line="578" w:lineRule="exact"/>
        <w:jc w:val="center"/>
        <w:textAlignment w:val="auto"/>
        <w:rPr>
          <w:rFonts w:hint="default" w:ascii="Times New Roman" w:hAnsi="Times New Roman" w:eastAsia="黑体" w:cs="Times New Roman"/>
          <w:b/>
          <w:bCs/>
          <w:i w:val="0"/>
          <w:color w:val="000000"/>
          <w:sz w:val="32"/>
          <w:szCs w:val="32"/>
        </w:rPr>
      </w:pPr>
      <w:r>
        <w:rPr>
          <w:rFonts w:hint="default" w:ascii="Times New Roman" w:hAnsi="Times New Roman" w:eastAsia="黑体" w:cs="Times New Roman"/>
          <w:b/>
          <w:bCs/>
          <w:i w:val="0"/>
          <w:color w:val="000000"/>
          <w:sz w:val="32"/>
          <w:szCs w:val="32"/>
        </w:rPr>
        <w:t>第七章  附则</w:t>
      </w:r>
    </w:p>
    <w:p w14:paraId="059DADE7">
      <w:pPr>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default" w:ascii="Times New Roman" w:hAnsi="Times New Roman" w:eastAsia="方正仿宋_GB2312" w:cs="Times New Roman"/>
          <w:b/>
          <w:bCs/>
          <w:sz w:val="32"/>
          <w:szCs w:val="32"/>
        </w:rPr>
      </w:pPr>
      <w:r>
        <w:rPr>
          <w:rFonts w:hint="default" w:ascii="楷体_GB2312" w:hAnsi="楷体_GB2312" w:eastAsia="楷体_GB2312" w:cs="楷体_GB2312"/>
          <w:b/>
          <w:bCs/>
          <w:sz w:val="32"/>
          <w:szCs w:val="32"/>
        </w:rPr>
        <w:t>第十八条</w:t>
      </w:r>
      <w:r>
        <w:rPr>
          <w:rFonts w:hint="default" w:ascii="Times New Roman" w:hAnsi="Times New Roman" w:eastAsia="方正仿宋_GB2312" w:cs="Times New Roman"/>
          <w:b/>
          <w:bCs/>
          <w:sz w:val="32"/>
          <w:szCs w:val="32"/>
        </w:rPr>
        <w:t xml:space="preserve">  本办法中有关加工场地建设、设施设备配置、人员管理、加工过程管理、包装运输、质量管理等具体要求，按照《四川省中药材产地加工（趁鲜切制）质量管理指南（试行）》执行。</w:t>
      </w:r>
    </w:p>
    <w:p w14:paraId="0634DA4F">
      <w:pPr>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default" w:ascii="Times New Roman" w:hAnsi="Times New Roman" w:eastAsia="方正仿宋_GB2312" w:cs="Times New Roman"/>
          <w:b/>
          <w:bCs/>
          <w:sz w:val="32"/>
          <w:szCs w:val="32"/>
        </w:rPr>
      </w:pPr>
      <w:r>
        <w:rPr>
          <w:rFonts w:hint="default" w:ascii="楷体_GB2312" w:hAnsi="楷体_GB2312" w:eastAsia="楷体_GB2312" w:cs="楷体_GB2312"/>
          <w:b/>
          <w:bCs/>
          <w:sz w:val="32"/>
          <w:szCs w:val="32"/>
        </w:rPr>
        <w:t>第十九条</w:t>
      </w:r>
      <w:r>
        <w:rPr>
          <w:rFonts w:hint="default" w:ascii="Times New Roman" w:hAnsi="Times New Roman" w:eastAsia="方正仿宋_GB2312" w:cs="Times New Roman"/>
          <w:b/>
          <w:bCs/>
          <w:sz w:val="32"/>
          <w:szCs w:val="32"/>
        </w:rPr>
        <w:t xml:space="preserve">  本办法由达州市市场监督管理局和达州市中医药管理局负责解释。</w:t>
      </w:r>
    </w:p>
    <w:p w14:paraId="2263C5DF">
      <w:pPr>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default" w:ascii="Times New Roman" w:hAnsi="Times New Roman" w:eastAsia="方正仿宋_GB2312" w:cs="Times New Roman"/>
          <w:b/>
          <w:bCs/>
          <w:sz w:val="32"/>
          <w:szCs w:val="32"/>
        </w:rPr>
      </w:pPr>
      <w:r>
        <w:rPr>
          <w:rFonts w:hint="default" w:ascii="楷体_GB2312" w:hAnsi="楷体_GB2312" w:eastAsia="楷体_GB2312" w:cs="楷体_GB2312"/>
          <w:b/>
          <w:bCs/>
          <w:sz w:val="32"/>
          <w:szCs w:val="32"/>
        </w:rPr>
        <w:t>第二十</w:t>
      </w:r>
      <w:r>
        <w:rPr>
          <w:rFonts w:hint="default" w:ascii="Times New Roman" w:hAnsi="Times New Roman" w:eastAsia="方正仿宋_GB2312" w:cs="Times New Roman"/>
          <w:b/>
          <w:bCs/>
          <w:sz w:val="32"/>
          <w:szCs w:val="32"/>
        </w:rPr>
        <w:t>条  本办法自发布之日起施行，有效期</w:t>
      </w:r>
      <w:r>
        <w:rPr>
          <w:rFonts w:hint="default" w:ascii="Times New Roman" w:hAnsi="Times New Roman" w:eastAsia="方正仿宋_GB2312" w:cs="Times New Roman"/>
          <w:b/>
          <w:bCs/>
          <w:sz w:val="32"/>
          <w:szCs w:val="32"/>
          <w:lang w:val="en-US" w:eastAsia="zh-CN"/>
        </w:rPr>
        <w:t>3</w:t>
      </w:r>
      <w:r>
        <w:rPr>
          <w:rFonts w:hint="default" w:ascii="Times New Roman" w:hAnsi="Times New Roman" w:eastAsia="方正仿宋_GB2312" w:cs="Times New Roman"/>
          <w:b/>
          <w:bCs/>
          <w:sz w:val="32"/>
          <w:szCs w:val="32"/>
        </w:rPr>
        <w:t>年。国家、四川省对鲜切药材管理出台新规定的，从其规定。</w:t>
      </w:r>
    </w:p>
    <w:p w14:paraId="6F689990">
      <w:pPr>
        <w:keepLines w:val="0"/>
        <w:pageBreakBefore w:val="0"/>
        <w:widowControl w:val="0"/>
        <w:kinsoku/>
        <w:overflowPunct/>
        <w:autoSpaceDE/>
        <w:autoSpaceDN/>
        <w:bidi w:val="0"/>
        <w:adjustRightInd/>
        <w:snapToGrid w:val="0"/>
        <w:spacing w:after="0" w:line="580" w:lineRule="exact"/>
        <w:jc w:val="both"/>
        <w:textAlignment w:val="auto"/>
        <w:rPr>
          <w:rFonts w:hint="eastAsia" w:ascii="黑体" w:hAnsi="黑体" w:eastAsia="黑体" w:cs="黑体"/>
          <w:b/>
          <w:bCs/>
          <w:kern w:val="2"/>
          <w:sz w:val="32"/>
          <w:szCs w:val="24"/>
          <w:highlight w:val="none"/>
          <w:lang w:eastAsia="zh-CN"/>
        </w:rPr>
      </w:pPr>
    </w:p>
    <w:p w14:paraId="2120AE4C">
      <w:pPr>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eastAsia"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eastAsia="zh-CN"/>
        </w:rPr>
        <w:t>附件：</w:t>
      </w:r>
      <w:r>
        <w:rPr>
          <w:rFonts w:hint="eastAsia" w:ascii="Times New Roman" w:hAnsi="Times New Roman" w:eastAsia="方正仿宋_GB2312" w:cs="Times New Roman"/>
          <w:b/>
          <w:bCs/>
          <w:sz w:val="32"/>
          <w:szCs w:val="32"/>
          <w:lang w:val="en-US" w:eastAsia="zh-CN"/>
        </w:rPr>
        <w:t>1. 达州市中药材产地趁鲜切制企业申报资料</w:t>
      </w:r>
    </w:p>
    <w:p w14:paraId="33FED528">
      <w:pPr>
        <w:keepLines w:val="0"/>
        <w:pageBreakBefore w:val="0"/>
        <w:widowControl/>
        <w:numPr>
          <w:ilvl w:val="0"/>
          <w:numId w:val="2"/>
        </w:numPr>
        <w:kinsoku/>
        <w:wordWrap w:val="0"/>
        <w:overflowPunct/>
        <w:topLinePunct w:val="0"/>
        <w:autoSpaceDE/>
        <w:autoSpaceDN/>
        <w:bidi w:val="0"/>
        <w:adjustRightInd/>
        <w:snapToGrid/>
        <w:spacing w:after="0" w:line="578" w:lineRule="exact"/>
        <w:ind w:left="1600" w:leftChars="0" w:firstLine="0" w:firstLineChars="0"/>
        <w:textAlignment w:val="auto"/>
        <w:rPr>
          <w:rFonts w:hint="default"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val="en-US" w:eastAsia="zh-CN"/>
        </w:rPr>
        <w:t>中药材产地加工（趁鲜切制）遴选企业检查表</w:t>
      </w:r>
    </w:p>
    <w:p w14:paraId="4AA6D620">
      <w:pPr>
        <w:keepLines w:val="0"/>
        <w:pageBreakBefore w:val="0"/>
        <w:kinsoku/>
        <w:overflowPunct/>
        <w:autoSpaceDE/>
        <w:autoSpaceDN/>
        <w:bidi w:val="0"/>
        <w:adjustRightInd/>
        <w:textAlignment w:val="auto"/>
        <w:rPr>
          <w:rFonts w:ascii="Times New Roman" w:hAnsi="Times New Roman" w:eastAsia="方正小标宋简体"/>
          <w:sz w:val="44"/>
          <w:szCs w:val="44"/>
        </w:rPr>
      </w:pPr>
      <w:r>
        <w:rPr>
          <w:rFonts w:hint="eastAsia" w:ascii="黑体" w:hAnsi="黑体" w:eastAsia="黑体" w:cs="黑体"/>
          <w:b/>
          <w:bCs/>
          <w:kern w:val="2"/>
          <w:sz w:val="32"/>
          <w:szCs w:val="24"/>
          <w:highlight w:val="none"/>
          <w:lang w:eastAsia="zh-CN"/>
        </w:rPr>
        <w:br w:type="page"/>
      </w:r>
      <w:r>
        <w:rPr>
          <w:rFonts w:hint="eastAsia" w:ascii="黑体" w:hAnsi="黑体" w:eastAsia="黑体" w:cs="黑体"/>
          <w:b/>
          <w:bCs/>
          <w:kern w:val="2"/>
          <w:sz w:val="32"/>
          <w:szCs w:val="24"/>
          <w:highlight w:val="none"/>
          <w:lang w:eastAsia="zh-CN"/>
        </w:rPr>
        <w:t>附件</w:t>
      </w:r>
      <w:r>
        <w:rPr>
          <w:rFonts w:hint="eastAsia" w:ascii="黑体" w:hAnsi="黑体" w:eastAsia="黑体" w:cs="黑体"/>
          <w:b/>
          <w:bCs/>
          <w:kern w:val="2"/>
          <w:sz w:val="32"/>
          <w:szCs w:val="24"/>
          <w:highlight w:val="none"/>
          <w:lang w:val="en-US" w:eastAsia="zh-CN"/>
        </w:rPr>
        <w:t>1</w:t>
      </w:r>
    </w:p>
    <w:p w14:paraId="03C61D91">
      <w:pPr>
        <w:spacing w:line="580" w:lineRule="exact"/>
        <w:ind w:firstLine="0" w:firstLineChars="0"/>
        <w:jc w:val="center"/>
        <w:rPr>
          <w:rFonts w:ascii="Times New Roman" w:hAnsi="Times New Roman" w:eastAsia="方正小标宋简体"/>
          <w:sz w:val="44"/>
          <w:szCs w:val="44"/>
        </w:rPr>
      </w:pPr>
      <w:r>
        <w:rPr>
          <w:rFonts w:ascii="Times New Roman" w:hAnsi="Times New Roman" w:eastAsia="方正小标宋简体"/>
          <w:sz w:val="44"/>
          <w:szCs w:val="44"/>
        </w:rPr>
        <w:t>达州市</w:t>
      </w:r>
      <w:r>
        <w:rPr>
          <w:rFonts w:hint="eastAsia" w:ascii="Times New Roman" w:hAnsi="Times New Roman" w:eastAsia="方正小标宋简体"/>
          <w:sz w:val="44"/>
          <w:szCs w:val="44"/>
        </w:rPr>
        <w:t>中药材产地趁鲜切制企业</w:t>
      </w:r>
    </w:p>
    <w:p w14:paraId="2C4E9EF4">
      <w:pPr>
        <w:pStyle w:val="9"/>
        <w:spacing w:line="900" w:lineRule="exact"/>
        <w:ind w:firstLine="0" w:firstLineChars="0"/>
        <w:jc w:val="both"/>
        <w:rPr>
          <w:rFonts w:ascii="Times New Roman" w:hAnsi="Times New Roman"/>
        </w:rPr>
      </w:pPr>
    </w:p>
    <w:p w14:paraId="19A4736B">
      <w:pPr>
        <w:pStyle w:val="9"/>
        <w:spacing w:line="1500" w:lineRule="exact"/>
        <w:ind w:firstLine="0" w:firstLineChars="0"/>
        <w:jc w:val="center"/>
        <w:rPr>
          <w:rFonts w:hint="eastAsia" w:ascii="Times New Roman" w:hAnsi="Times New Roman" w:eastAsia="方正小标宋简体"/>
          <w:sz w:val="80"/>
          <w:szCs w:val="80"/>
        </w:rPr>
      </w:pPr>
      <w:r>
        <w:rPr>
          <w:rFonts w:hint="eastAsia" w:ascii="Times New Roman" w:hAnsi="Times New Roman" w:eastAsia="方正小标宋简体"/>
          <w:sz w:val="80"/>
          <w:szCs w:val="80"/>
        </w:rPr>
        <w:t>申</w:t>
      </w:r>
    </w:p>
    <w:p w14:paraId="5EF44178">
      <w:pPr>
        <w:pStyle w:val="9"/>
        <w:spacing w:line="1500" w:lineRule="exact"/>
        <w:ind w:firstLine="0" w:firstLineChars="0"/>
        <w:jc w:val="center"/>
        <w:rPr>
          <w:rFonts w:hint="eastAsia" w:ascii="Times New Roman" w:hAnsi="Times New Roman" w:eastAsia="方正小标宋简体"/>
          <w:sz w:val="80"/>
          <w:szCs w:val="80"/>
        </w:rPr>
      </w:pPr>
      <w:r>
        <w:rPr>
          <w:rFonts w:hint="eastAsia" w:ascii="Times New Roman" w:hAnsi="Times New Roman" w:eastAsia="方正小标宋简体"/>
          <w:sz w:val="80"/>
          <w:szCs w:val="80"/>
        </w:rPr>
        <w:t>报</w:t>
      </w:r>
    </w:p>
    <w:p w14:paraId="76C4DEF2">
      <w:pPr>
        <w:pStyle w:val="9"/>
        <w:spacing w:line="1500" w:lineRule="exact"/>
        <w:ind w:firstLine="0" w:firstLineChars="0"/>
        <w:jc w:val="center"/>
        <w:rPr>
          <w:rFonts w:ascii="Times New Roman" w:hAnsi="Times New Roman" w:eastAsia="方正小标宋简体"/>
          <w:sz w:val="80"/>
          <w:szCs w:val="80"/>
        </w:rPr>
      </w:pPr>
      <w:r>
        <w:rPr>
          <w:rFonts w:ascii="Times New Roman" w:hAnsi="Times New Roman" w:eastAsia="方正小标宋简体"/>
          <w:sz w:val="80"/>
          <w:szCs w:val="80"/>
        </w:rPr>
        <w:t>资</w:t>
      </w:r>
    </w:p>
    <w:p w14:paraId="1AC3F211">
      <w:pPr>
        <w:pStyle w:val="9"/>
        <w:spacing w:line="1500" w:lineRule="exact"/>
        <w:ind w:firstLine="0" w:firstLineChars="0"/>
        <w:jc w:val="center"/>
        <w:rPr>
          <w:rFonts w:ascii="Times New Roman" w:hAnsi="Times New Roman" w:eastAsia="方正小标宋简体"/>
          <w:sz w:val="80"/>
          <w:szCs w:val="80"/>
        </w:rPr>
      </w:pPr>
      <w:r>
        <w:rPr>
          <w:rFonts w:ascii="Times New Roman" w:hAnsi="Times New Roman" w:eastAsia="方正小标宋简体"/>
          <w:sz w:val="80"/>
          <w:szCs w:val="80"/>
        </w:rPr>
        <w:t>料</w:t>
      </w:r>
    </w:p>
    <w:p w14:paraId="7531A22F">
      <w:pPr>
        <w:spacing w:line="900" w:lineRule="exact"/>
        <w:ind w:firstLine="0" w:firstLineChars="0"/>
        <w:jc w:val="both"/>
        <w:rPr>
          <w:rFonts w:ascii="Times New Roman" w:hAnsi="Times New Roman"/>
          <w:color w:val="000000"/>
          <w:kern w:val="0"/>
          <w:szCs w:val="21"/>
        </w:rPr>
      </w:pPr>
    </w:p>
    <w:p w14:paraId="5B5988A2">
      <w:pPr>
        <w:spacing w:line="700" w:lineRule="exact"/>
        <w:jc w:val="center"/>
        <w:rPr>
          <w:rFonts w:ascii="Times New Roman" w:hAnsi="Times New Roman" w:eastAsia="方正黑体_GBK"/>
          <w:spacing w:val="20"/>
          <w:sz w:val="32"/>
          <w:szCs w:val="32"/>
          <w:u w:val="single"/>
        </w:rPr>
      </w:pPr>
      <w:r>
        <w:rPr>
          <w:sz w:val="52"/>
          <w:u w:val="none"/>
        </w:rPr>
        <mc:AlternateContent>
          <mc:Choice Requires="wps">
            <w:drawing>
              <wp:anchor distT="0" distB="0" distL="114300" distR="114300" simplePos="0" relativeHeight="251659264" behindDoc="0" locked="0" layoutInCell="1" allowOverlap="1">
                <wp:simplePos x="0" y="0"/>
                <wp:positionH relativeFrom="column">
                  <wp:posOffset>1943100</wp:posOffset>
                </wp:positionH>
                <wp:positionV relativeFrom="paragraph">
                  <wp:posOffset>391160</wp:posOffset>
                </wp:positionV>
                <wp:extent cx="1675130" cy="7620"/>
                <wp:effectExtent l="0" t="0" r="0" b="0"/>
                <wp:wrapNone/>
                <wp:docPr id="1" name="直接连接符 1"/>
                <wp:cNvGraphicFramePr/>
                <a:graphic xmlns:a="http://schemas.openxmlformats.org/drawingml/2006/main">
                  <a:graphicData uri="http://schemas.microsoft.com/office/word/2010/wordprocessingShape">
                    <wps:wsp>
                      <wps:cNvCnPr/>
                      <wps:spPr>
                        <a:xfrm>
                          <a:off x="0" y="0"/>
                          <a:ext cx="1675130" cy="7620"/>
                        </a:xfrm>
                        <a:prstGeom prst="line">
                          <a:avLst/>
                        </a:prstGeom>
                        <a:ln w="254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53pt;margin-top:30.8pt;height:0.6pt;width:131.9pt;z-index:251659264;mso-width-relative:page;mso-height-relative:page;" filled="f" stroked="t" coordsize="21600,21600" o:gfxdata="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B35Oh1wAAAAkBAAAPAAAAAAAAAAEAIAAAACIAAABkcnMvZG93bnJldi54bWxQ&#10;SwECFAAUAAAACACHTuJAB8uBdvgBAADoAwAADgAAAAAAAAABACAAAAAmAQAAZHJzL2Uyb0RvYy54&#10;bWxQSwUGAAAAAAYABgBZAQAAkAUAAAAA&#10;">
                <v:fill on="f" focussize="0,0"/>
                <v:stroke weight="2pt" color="#000000" joinstyle="round"/>
                <v:imagedata o:title=""/>
                <o:lock v:ext="edit" aspectratio="f"/>
              </v:line>
            </w:pict>
          </mc:Fallback>
        </mc:AlternateContent>
      </w:r>
      <w:r>
        <w:rPr>
          <w:rFonts w:hint="eastAsia" w:ascii="黑体" w:hAnsi="黑体" w:eastAsia="黑体" w:cs="黑体"/>
          <w:spacing w:val="20"/>
          <w:sz w:val="52"/>
          <w:szCs w:val="52"/>
          <w:u w:val="none"/>
          <w:lang w:val="en-US" w:eastAsia="zh-CN"/>
        </w:rPr>
        <w:t xml:space="preserve"> xx</w:t>
      </w:r>
      <w:r>
        <w:rPr>
          <w:rFonts w:hint="eastAsia" w:ascii="Times New Roman" w:hAnsi="Times New Roman" w:eastAsia="方正黑体_GBK"/>
          <w:spacing w:val="20"/>
          <w:sz w:val="32"/>
          <w:szCs w:val="32"/>
          <w:u w:val="none"/>
        </w:rPr>
        <w:t>公</w:t>
      </w:r>
      <w:r>
        <w:rPr>
          <w:rFonts w:hint="eastAsia" w:ascii="Times New Roman" w:hAnsi="Times New Roman" w:eastAsia="方正黑体_GBK"/>
          <w:spacing w:val="20"/>
          <w:sz w:val="32"/>
          <w:szCs w:val="32"/>
          <w:u w:val="none"/>
          <w:lang w:val="en-US" w:eastAsia="zh-CN"/>
        </w:rPr>
        <w:t xml:space="preserve"> </w:t>
      </w:r>
      <w:r>
        <w:rPr>
          <w:rFonts w:hint="eastAsia" w:ascii="Times New Roman" w:hAnsi="Times New Roman" w:eastAsia="方正黑体_GBK"/>
          <w:spacing w:val="20"/>
          <w:sz w:val="32"/>
          <w:szCs w:val="32"/>
          <w:u w:val="none"/>
        </w:rPr>
        <w:t>司</w:t>
      </w:r>
      <w:r>
        <w:rPr>
          <w:rFonts w:hint="eastAsia" w:ascii="Times New Roman" w:hAnsi="Times New Roman" w:eastAsia="方正黑体_GBK"/>
          <w:spacing w:val="20"/>
          <w:sz w:val="32"/>
          <w:szCs w:val="32"/>
          <w:u w:val="none"/>
          <w:lang w:val="en-US" w:eastAsia="zh-CN"/>
        </w:rPr>
        <w:t xml:space="preserve"> </w:t>
      </w:r>
    </w:p>
    <w:p w14:paraId="198C7D04">
      <w:pPr>
        <w:pStyle w:val="2"/>
      </w:pPr>
    </w:p>
    <w:p w14:paraId="1B0B7271">
      <w:pPr>
        <w:pStyle w:val="9"/>
        <w:ind w:firstLine="0" w:firstLineChars="0"/>
        <w:jc w:val="both"/>
        <w:rPr>
          <w:rFonts w:hint="eastAsia" w:ascii="Times New Roman" w:hAnsi="Times New Roman" w:eastAsia="方正黑体_GBK"/>
          <w:sz w:val="32"/>
          <w:szCs w:val="32"/>
          <w:lang w:eastAsia="zh-CN"/>
        </w:rPr>
      </w:pPr>
    </w:p>
    <w:p w14:paraId="380E267A">
      <w:pPr>
        <w:pStyle w:val="9"/>
        <w:ind w:firstLine="0" w:firstLineChars="0"/>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 xml:space="preserve">达州市市场监督管理局   </w:t>
      </w:r>
      <w:r>
        <w:rPr>
          <w:rFonts w:hint="eastAsia" w:ascii="仿宋_GB2312" w:hAnsi="仿宋_GB2312" w:eastAsia="仿宋_GB2312" w:cs="仿宋_GB2312"/>
          <w:b/>
          <w:bCs/>
          <w:sz w:val="32"/>
          <w:szCs w:val="32"/>
          <w:lang w:eastAsia="zh-CN"/>
        </w:rPr>
        <w:t>达州市中医药管理局</w:t>
      </w:r>
    </w:p>
    <w:p w14:paraId="360D81C8">
      <w:pPr>
        <w:pStyle w:val="9"/>
        <w:ind w:firstLine="0" w:firstLineChars="0"/>
        <w:jc w:val="center"/>
        <w:rPr>
          <w:rFonts w:hint="eastAsia" w:ascii="仿宋_GB2312" w:hAnsi="仿宋_GB2312" w:eastAsia="仿宋_GB2312" w:cs="仿宋_GB2312"/>
          <w:b/>
          <w:bCs/>
          <w:sz w:val="32"/>
          <w:szCs w:val="32"/>
          <w:lang w:val="en-US" w:eastAsia="zh-CN"/>
        </w:rPr>
      </w:pPr>
    </w:p>
    <w:p w14:paraId="0C09A82E">
      <w:pPr>
        <w:pStyle w:val="9"/>
        <w:ind w:firstLine="0" w:firstLineChars="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2026年 月</w:t>
      </w:r>
    </w:p>
    <w:p w14:paraId="248298A4">
      <w:pPr>
        <w:pStyle w:val="9"/>
        <w:ind w:firstLine="0" w:firstLineChars="0"/>
        <w:jc w:val="both"/>
        <w:rPr>
          <w:rFonts w:ascii="Times New Roman" w:hAnsi="Times New Roman" w:eastAsia="方正小标宋简体"/>
          <w:sz w:val="44"/>
          <w:szCs w:val="44"/>
        </w:rPr>
      </w:pPr>
    </w:p>
    <w:p w14:paraId="0496FC70">
      <w:pPr>
        <w:pStyle w:val="9"/>
        <w:ind w:firstLine="0" w:firstLineChars="0"/>
        <w:jc w:val="center"/>
        <w:rPr>
          <w:rFonts w:ascii="Times New Roman" w:hAnsi="Times New Roman" w:eastAsia="方正小标宋简体"/>
          <w:sz w:val="44"/>
          <w:szCs w:val="44"/>
        </w:rPr>
      </w:pPr>
      <w:r>
        <w:rPr>
          <w:rFonts w:ascii="Times New Roman" w:hAnsi="Times New Roman" w:eastAsia="方正小标宋简体"/>
          <w:sz w:val="44"/>
          <w:szCs w:val="44"/>
        </w:rPr>
        <w:t>目    录</w:t>
      </w:r>
    </w:p>
    <w:p w14:paraId="235DB7DB">
      <w:pPr>
        <w:ind w:firstLine="0" w:firstLineChars="0"/>
        <w:jc w:val="both"/>
        <w:rPr>
          <w:rFonts w:ascii="Times New Roman" w:hAnsi="Times New Roman" w:eastAsia="方正小标宋简体"/>
          <w:sz w:val="44"/>
          <w:szCs w:val="44"/>
        </w:rPr>
      </w:pPr>
    </w:p>
    <w:p w14:paraId="1130AFD1">
      <w:pPr>
        <w:tabs>
          <w:tab w:val="right" w:leader="middleDot" w:pos="8800"/>
        </w:tabs>
        <w:ind w:firstLine="640"/>
        <w:jc w:val="both"/>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1．承诺书</w:t>
      </w:r>
    </w:p>
    <w:p w14:paraId="6C6E5E7B">
      <w:pPr>
        <w:tabs>
          <w:tab w:val="right" w:leader="middleDot" w:pos="8800"/>
        </w:tabs>
        <w:ind w:firstLine="640"/>
        <w:jc w:val="both"/>
        <w:rPr>
          <w:rFonts w:hint="default" w:ascii="Times New Roman" w:hAnsi="Times New Roman" w:eastAsia="仿宋_GB2312" w:cs="Times New Roman"/>
          <w:b/>
          <w:bCs/>
          <w:kern w:val="2"/>
          <w:sz w:val="32"/>
          <w:szCs w:val="32"/>
          <w:lang w:val="en-US" w:eastAsia="zh-CN" w:bidi="ar-SA"/>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kern w:val="2"/>
          <w:sz w:val="32"/>
          <w:szCs w:val="32"/>
          <w:lang w:val="en-US" w:eastAsia="zh-CN" w:bidi="ar-SA"/>
        </w:rPr>
        <w:t>中药材产地加工（趁鲜切制）企业遴选申请表</w:t>
      </w:r>
    </w:p>
    <w:p w14:paraId="53D6B9D4">
      <w:pPr>
        <w:tabs>
          <w:tab w:val="right" w:leader="middleDot" w:pos="8800"/>
        </w:tabs>
        <w:ind w:firstLine="640"/>
        <w:jc w:val="both"/>
        <w:rPr>
          <w:rFonts w:hint="default" w:ascii="Times New Roman" w:hAnsi="Times New Roman" w:eastAsia="仿宋_GB2312" w:cs="Times New Roman"/>
          <w:b/>
          <w:bCs/>
          <w:kern w:val="2"/>
          <w:sz w:val="32"/>
          <w:szCs w:val="32"/>
          <w:lang w:val="en" w:eastAsia="zh-CN" w:bidi="ar-SA"/>
        </w:rPr>
      </w:pPr>
      <w:r>
        <w:rPr>
          <w:rFonts w:hint="default" w:ascii="Times New Roman" w:hAnsi="Times New Roman" w:eastAsia="仿宋_GB2312" w:cs="Times New Roman"/>
          <w:b/>
          <w:bCs/>
          <w:sz w:val="32"/>
          <w:szCs w:val="32"/>
          <w:lang w:val="en"/>
        </w:rPr>
        <w:t>3</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kern w:val="2"/>
          <w:sz w:val="32"/>
          <w:szCs w:val="32"/>
          <w:lang w:val="en" w:eastAsia="zh-CN" w:bidi="ar-SA"/>
        </w:rPr>
        <w:t>加工品种质量标准、加工工艺及质量控制文件</w:t>
      </w:r>
    </w:p>
    <w:p w14:paraId="6B74BA99">
      <w:pPr>
        <w:tabs>
          <w:tab w:val="right" w:leader="middleDot" w:pos="8800"/>
        </w:tabs>
        <w:ind w:firstLine="640"/>
        <w:jc w:val="both"/>
        <w:rPr>
          <w:rFonts w:hint="default" w:ascii="Times New Roman" w:hAnsi="Times New Roman" w:eastAsia="仿宋_GB2312" w:cs="Times New Roman"/>
          <w:b/>
          <w:bCs/>
          <w:kern w:val="2"/>
          <w:sz w:val="32"/>
          <w:szCs w:val="32"/>
          <w:lang w:val="en" w:eastAsia="zh-CN" w:bidi="ar-SA"/>
        </w:rPr>
      </w:pPr>
      <w:r>
        <w:rPr>
          <w:rFonts w:hint="default" w:ascii="Times New Roman" w:hAnsi="Times New Roman" w:eastAsia="仿宋_GB2312" w:cs="Times New Roman"/>
          <w:b/>
          <w:bCs/>
          <w:sz w:val="32"/>
          <w:szCs w:val="32"/>
          <w:lang w:val="en"/>
        </w:rPr>
        <w:t>4</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kern w:val="2"/>
          <w:sz w:val="32"/>
          <w:szCs w:val="32"/>
          <w:lang w:val="en-US" w:eastAsia="zh-CN" w:bidi="ar-SA"/>
        </w:rPr>
        <w:t>营业执照复印件</w:t>
      </w:r>
    </w:p>
    <w:p w14:paraId="3BF89D7D">
      <w:pPr>
        <w:tabs>
          <w:tab w:val="right" w:leader="middleDot" w:pos="8800"/>
        </w:tabs>
        <w:ind w:firstLine="640"/>
        <w:jc w:val="both"/>
        <w:rPr>
          <w:rFonts w:hint="default" w:ascii="Times New Roman" w:hAnsi="Times New Roman" w:eastAsia="仿宋_GB2312" w:cs="Times New Roman"/>
          <w:b/>
          <w:bCs/>
          <w:kern w:val="2"/>
          <w:sz w:val="32"/>
          <w:szCs w:val="32"/>
          <w:lang w:val="en-US" w:eastAsia="zh-CN" w:bidi="ar-SA"/>
        </w:rPr>
      </w:pPr>
      <w:r>
        <w:rPr>
          <w:rFonts w:hint="default" w:ascii="Times New Roman" w:hAnsi="Times New Roman" w:eastAsia="仿宋_GB2312" w:cs="Times New Roman"/>
          <w:b/>
          <w:bCs/>
          <w:sz w:val="32"/>
          <w:szCs w:val="32"/>
        </w:rPr>
        <w:t>5．</w:t>
      </w:r>
      <w:r>
        <w:rPr>
          <w:rFonts w:hint="default" w:ascii="Times New Roman" w:hAnsi="Times New Roman" w:eastAsia="仿宋_GB2312" w:cs="Times New Roman"/>
          <w:b/>
          <w:bCs/>
          <w:color w:val="auto"/>
          <w:kern w:val="2"/>
          <w:sz w:val="32"/>
          <w:szCs w:val="32"/>
          <w:lang w:val="en-US" w:eastAsia="zh-CN" w:bidi="ar-SA"/>
        </w:rPr>
        <w:t>生产场地所有权或使用权证明</w:t>
      </w:r>
    </w:p>
    <w:p w14:paraId="2D56FE49">
      <w:pPr>
        <w:ind w:firstLine="0" w:firstLineChars="0"/>
        <w:jc w:val="both"/>
        <w:rPr>
          <w:rFonts w:ascii="Times New Roman" w:hAnsi="Times New Roman" w:eastAsia="仿宋_GB2312"/>
          <w:szCs w:val="32"/>
        </w:rPr>
      </w:pPr>
      <w:r>
        <w:rPr>
          <w:rFonts w:ascii="Times New Roman" w:hAnsi="Times New Roman" w:eastAsia="方正小标宋简体"/>
          <w:sz w:val="44"/>
          <w:szCs w:val="44"/>
        </w:rPr>
        <w:br w:type="page"/>
      </w:r>
    </w:p>
    <w:p w14:paraId="1D7C2FBB">
      <w:pPr>
        <w:ind w:firstLine="0" w:firstLineChars="0"/>
        <w:jc w:val="center"/>
        <w:rPr>
          <w:rFonts w:ascii="Times New Roman" w:hAnsi="Times New Roman" w:eastAsia="方正小标宋简体"/>
          <w:sz w:val="44"/>
          <w:szCs w:val="44"/>
        </w:rPr>
      </w:pPr>
      <w:r>
        <w:rPr>
          <w:rFonts w:ascii="Times New Roman" w:hAnsi="Times New Roman" w:eastAsia="方正小标宋简体"/>
          <w:sz w:val="44"/>
          <w:szCs w:val="44"/>
        </w:rPr>
        <w:t>承诺书</w:t>
      </w:r>
    </w:p>
    <w:p w14:paraId="086785A3">
      <w:pPr>
        <w:ind w:firstLine="0" w:firstLineChars="0"/>
        <w:jc w:val="both"/>
        <w:rPr>
          <w:rFonts w:ascii="Times New Roman" w:hAnsi="Times New Roman" w:eastAsia="仿宋_GB2312"/>
          <w:szCs w:val="32"/>
        </w:rPr>
      </w:pPr>
    </w:p>
    <w:p w14:paraId="2DB325D7">
      <w:pPr>
        <w:ind w:firstLine="640"/>
        <w:jc w:val="both"/>
        <w:rPr>
          <w:rFonts w:ascii="Times New Roman" w:hAnsi="Times New Roman" w:eastAsia="仿宋_GB2312"/>
          <w:sz w:val="32"/>
          <w:szCs w:val="32"/>
        </w:rPr>
      </w:pPr>
      <w:r>
        <w:rPr>
          <w:rFonts w:ascii="Times New Roman" w:hAnsi="Times New Roman" w:eastAsia="仿宋_GB2312"/>
          <w:sz w:val="32"/>
          <w:szCs w:val="32"/>
        </w:rPr>
        <w:t>我单位所提交的申请资料真实、准确、有效。所有复印件均与原件核对，完全一致。自觉接受有关主管部门为审核</w:t>
      </w:r>
      <w:r>
        <w:rPr>
          <w:rFonts w:hint="eastAsia" w:ascii="Times New Roman" w:hAnsi="Times New Roman" w:eastAsia="仿宋_GB2312"/>
          <w:sz w:val="32"/>
          <w:szCs w:val="32"/>
        </w:rPr>
        <w:t>资料</w:t>
      </w:r>
      <w:r>
        <w:rPr>
          <w:rFonts w:ascii="Times New Roman" w:hAnsi="Times New Roman" w:eastAsia="仿宋_GB2312"/>
          <w:sz w:val="32"/>
          <w:szCs w:val="32"/>
        </w:rPr>
        <w:t>而进行的必要核查。如有不实之处，愿负相应的法律责任，并承担由此产生的一切后果。</w:t>
      </w:r>
    </w:p>
    <w:p w14:paraId="6AB53EEB">
      <w:pPr>
        <w:ind w:firstLine="640"/>
        <w:jc w:val="both"/>
        <w:rPr>
          <w:rFonts w:ascii="Times New Roman" w:hAnsi="Times New Roman" w:eastAsia="仿宋_GB2312"/>
          <w:szCs w:val="32"/>
        </w:rPr>
      </w:pPr>
      <w:r>
        <w:rPr>
          <w:rFonts w:ascii="Times New Roman" w:hAnsi="Times New Roman" w:eastAsia="仿宋_GB2312"/>
          <w:sz w:val="32"/>
          <w:szCs w:val="32"/>
        </w:rPr>
        <w:t>特此承诺！</w:t>
      </w:r>
    </w:p>
    <w:p w14:paraId="4AA19278">
      <w:pPr>
        <w:ind w:firstLine="640"/>
        <w:jc w:val="both"/>
        <w:rPr>
          <w:rFonts w:ascii="Times New Roman" w:hAnsi="Times New Roman" w:eastAsia="仿宋_GB2312"/>
          <w:szCs w:val="32"/>
        </w:rPr>
      </w:pPr>
    </w:p>
    <w:p w14:paraId="70F3A019">
      <w:pPr>
        <w:ind w:firstLine="640"/>
        <w:jc w:val="both"/>
        <w:rPr>
          <w:rFonts w:ascii="Times New Roman" w:hAnsi="Times New Roman" w:eastAsia="仿宋_GB2312"/>
          <w:szCs w:val="32"/>
        </w:rPr>
      </w:pPr>
    </w:p>
    <w:p w14:paraId="7147C205">
      <w:pPr>
        <w:ind w:left="5659" w:leftChars="400" w:hanging="4819" w:hangingChars="2295"/>
        <w:jc w:val="both"/>
        <w:rPr>
          <w:rFonts w:ascii="Times New Roman" w:hAnsi="Times New Roman" w:eastAsia="仿宋_GB2312"/>
          <w:sz w:val="32"/>
          <w:szCs w:val="32"/>
        </w:rPr>
      </w:pPr>
      <w:r>
        <w:rPr>
          <w:rFonts w:ascii="Times New Roman" w:hAnsi="Times New Roman" w:eastAsia="仿宋_GB2312"/>
          <w:szCs w:val="32"/>
        </w:rPr>
        <w:t xml:space="preserve">                         </w:t>
      </w:r>
      <w:r>
        <w:rPr>
          <w:rFonts w:hint="eastAsia" w:ascii="Times New Roman" w:hAnsi="Times New Roman" w:eastAsia="仿宋_GB2312"/>
          <w:szCs w:val="32"/>
          <w:lang w:val="en-US" w:eastAsia="zh-CN"/>
        </w:rPr>
        <w:t xml:space="preserve">                                                                 </w:t>
      </w:r>
      <w:r>
        <w:rPr>
          <w:rFonts w:ascii="Times New Roman" w:hAnsi="Times New Roman" w:eastAsia="仿宋_GB2312"/>
          <w:sz w:val="32"/>
          <w:szCs w:val="32"/>
        </w:rPr>
        <w:t>单位名称（公章）</w:t>
      </w:r>
    </w:p>
    <w:p w14:paraId="72F540CA">
      <w:pPr>
        <w:ind w:left="5744" w:leftChars="608" w:hanging="4467" w:hangingChars="1396"/>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 xml:space="preserve">                            </w:t>
      </w:r>
      <w:r>
        <w:rPr>
          <w:rFonts w:ascii="Times New Roman" w:hAnsi="Times New Roman" w:eastAsia="仿宋_GB2312"/>
          <w:sz w:val="32"/>
          <w:szCs w:val="32"/>
        </w:rPr>
        <w:t>法人代表签字：</w:t>
      </w:r>
    </w:p>
    <w:p w14:paraId="718A0BD4">
      <w:pPr>
        <w:ind w:left="5744" w:leftChars="608" w:hanging="4467" w:hangingChars="1396"/>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 xml:space="preserve">                             </w:t>
      </w:r>
      <w:r>
        <w:rPr>
          <w:rFonts w:ascii="Times New Roman" w:hAnsi="Times New Roman" w:eastAsia="仿宋_GB2312"/>
          <w:sz w:val="32"/>
          <w:szCs w:val="32"/>
        </w:rPr>
        <w:t>年   月   日</w:t>
      </w:r>
    </w:p>
    <w:p w14:paraId="7E35794B">
      <w:pPr>
        <w:snapToGrid w:val="0"/>
        <w:spacing w:line="580" w:lineRule="exact"/>
        <w:jc w:val="center"/>
        <w:rPr>
          <w:rStyle w:val="19"/>
          <w:rFonts w:hint="eastAsia" w:ascii="方正小标宋_GBK" w:hAnsi="方正小标宋_GBK" w:eastAsia="方正小标宋_GBK" w:cs="方正小标宋_GBK"/>
          <w:bCs/>
          <w:sz w:val="44"/>
          <w:szCs w:val="44"/>
          <w:highlight w:val="none"/>
        </w:rPr>
      </w:pPr>
      <w:r>
        <w:rPr>
          <w:rFonts w:ascii="Times New Roman" w:hAnsi="Times New Roman" w:eastAsia="方正仿宋_GBK"/>
          <w:b/>
        </w:rPr>
        <w:br w:type="page"/>
      </w:r>
      <w:r>
        <w:rPr>
          <w:rStyle w:val="19"/>
          <w:rFonts w:hint="eastAsia" w:ascii="方正小标宋_GBK" w:hAnsi="方正小标宋_GBK" w:eastAsia="方正小标宋_GBK" w:cs="方正小标宋_GBK"/>
          <w:bCs/>
          <w:sz w:val="44"/>
          <w:szCs w:val="44"/>
          <w:highlight w:val="none"/>
        </w:rPr>
        <w:t>中药材产地加工（趁鲜切制）企业</w:t>
      </w:r>
    </w:p>
    <w:p w14:paraId="4D398ACF">
      <w:pPr>
        <w:snapToGrid w:val="0"/>
        <w:spacing w:line="580" w:lineRule="exact"/>
        <w:jc w:val="center"/>
        <w:rPr>
          <w:rStyle w:val="19"/>
          <w:rFonts w:hint="eastAsia" w:ascii="方正仿宋_GB2312" w:hAnsi="方正仿宋_GB2312" w:eastAsia="方正仿宋_GB2312" w:cs="方正仿宋_GB2312"/>
          <w:sz w:val="28"/>
          <w:szCs w:val="28"/>
          <w:highlight w:val="none"/>
          <w:lang w:val="en-US" w:eastAsia="zh-CN"/>
        </w:rPr>
      </w:pPr>
      <w:r>
        <w:rPr>
          <w:rStyle w:val="19"/>
          <w:rFonts w:hint="eastAsia" w:ascii="方正小标宋_GBK" w:hAnsi="方正小标宋_GBK" w:eastAsia="方正小标宋_GBK" w:cs="方正小标宋_GBK"/>
          <w:bCs/>
          <w:sz w:val="44"/>
          <w:szCs w:val="44"/>
          <w:highlight w:val="none"/>
        </w:rPr>
        <w:t>遴选申请表</w:t>
      </w:r>
    </w:p>
    <w:p w14:paraId="194D28CD">
      <w:pPr>
        <w:snapToGrid w:val="0"/>
        <w:spacing w:beforeLines="0" w:afterLines="0" w:line="360" w:lineRule="exact"/>
        <w:jc w:val="left"/>
        <w:rPr>
          <w:rStyle w:val="19"/>
          <w:rFonts w:hint="default" w:ascii="Times New Roman" w:hAnsi="Times New Roman" w:eastAsia="方正小标宋简体" w:cs="Times New Roman"/>
          <w:bCs/>
          <w:sz w:val="44"/>
          <w:szCs w:val="44"/>
          <w:highlight w:val="none"/>
        </w:rPr>
      </w:pPr>
      <w:r>
        <w:rPr>
          <w:rStyle w:val="19"/>
          <w:rFonts w:hint="eastAsia" w:ascii="方正仿宋_GB2312" w:hAnsi="方正仿宋_GB2312" w:eastAsia="方正仿宋_GB2312" w:cs="方正仿宋_GB2312"/>
          <w:sz w:val="28"/>
          <w:szCs w:val="28"/>
          <w:highlight w:val="none"/>
          <w:lang w:val="en-US" w:eastAsia="zh-CN"/>
        </w:rPr>
        <w:t>企业名称(盖章）：                     填报时间：</w:t>
      </w:r>
    </w:p>
    <w:tbl>
      <w:tblPr>
        <w:tblStyle w:val="13"/>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1"/>
        <w:gridCol w:w="1705"/>
        <w:gridCol w:w="1420"/>
        <w:gridCol w:w="1420"/>
        <w:gridCol w:w="1421"/>
        <w:gridCol w:w="1421"/>
      </w:tblGrid>
      <w:tr w14:paraId="2F77B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Merge w:val="restart"/>
            <w:noWrap w:val="0"/>
            <w:vAlign w:val="center"/>
          </w:tcPr>
          <w:p w14:paraId="006AF8F4">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eastAsia="zh-CN"/>
              </w:rPr>
              <w:t>企业</w:t>
            </w:r>
            <w:r>
              <w:rPr>
                <w:rStyle w:val="19"/>
                <w:rFonts w:hint="eastAsia" w:ascii="方正仿宋_GB2312" w:hAnsi="方正仿宋_GB2312" w:eastAsia="方正仿宋_GB2312" w:cs="方正仿宋_GB2312"/>
                <w:sz w:val="28"/>
                <w:szCs w:val="28"/>
                <w:highlight w:val="none"/>
              </w:rPr>
              <w:t>情况</w:t>
            </w:r>
          </w:p>
        </w:tc>
        <w:tc>
          <w:tcPr>
            <w:tcW w:w="1705" w:type="dxa"/>
            <w:noWrap w:val="0"/>
            <w:vAlign w:val="center"/>
          </w:tcPr>
          <w:p w14:paraId="5D721219">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名</w:t>
            </w:r>
            <w:r>
              <w:rPr>
                <w:rStyle w:val="19"/>
                <w:rFonts w:hint="eastAsia" w:ascii="方正仿宋_GB2312" w:hAnsi="方正仿宋_GB2312" w:eastAsia="方正仿宋_GB2312" w:cs="方正仿宋_GB2312"/>
                <w:sz w:val="28"/>
                <w:szCs w:val="28"/>
                <w:highlight w:val="none"/>
                <w:lang w:val="en-US" w:eastAsia="zh-CN"/>
              </w:rPr>
              <w:t xml:space="preserve">  </w:t>
            </w:r>
            <w:r>
              <w:rPr>
                <w:rStyle w:val="19"/>
                <w:rFonts w:hint="eastAsia" w:ascii="方正仿宋_GB2312" w:hAnsi="方正仿宋_GB2312" w:eastAsia="方正仿宋_GB2312" w:cs="方正仿宋_GB2312"/>
                <w:sz w:val="28"/>
                <w:szCs w:val="28"/>
                <w:highlight w:val="none"/>
              </w:rPr>
              <w:t>称</w:t>
            </w:r>
          </w:p>
        </w:tc>
        <w:tc>
          <w:tcPr>
            <w:tcW w:w="1420" w:type="dxa"/>
            <w:noWrap w:val="0"/>
            <w:vAlign w:val="center"/>
          </w:tcPr>
          <w:p w14:paraId="34E61815">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c>
          <w:tcPr>
            <w:tcW w:w="1420" w:type="dxa"/>
            <w:noWrap w:val="0"/>
            <w:vAlign w:val="center"/>
          </w:tcPr>
          <w:p w14:paraId="2DC2AFE7">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地</w:t>
            </w:r>
            <w:r>
              <w:rPr>
                <w:rStyle w:val="19"/>
                <w:rFonts w:hint="eastAsia" w:ascii="方正仿宋_GB2312" w:hAnsi="方正仿宋_GB2312" w:eastAsia="方正仿宋_GB2312" w:cs="方正仿宋_GB2312"/>
                <w:sz w:val="28"/>
                <w:szCs w:val="28"/>
                <w:highlight w:val="none"/>
                <w:lang w:val="en-US" w:eastAsia="zh-CN"/>
              </w:rPr>
              <w:t xml:space="preserve">  </w:t>
            </w:r>
            <w:r>
              <w:rPr>
                <w:rStyle w:val="19"/>
                <w:rFonts w:hint="eastAsia" w:ascii="方正仿宋_GB2312" w:hAnsi="方正仿宋_GB2312" w:eastAsia="方正仿宋_GB2312" w:cs="方正仿宋_GB2312"/>
                <w:sz w:val="28"/>
                <w:szCs w:val="28"/>
                <w:highlight w:val="none"/>
              </w:rPr>
              <w:t>址</w:t>
            </w:r>
          </w:p>
        </w:tc>
        <w:tc>
          <w:tcPr>
            <w:tcW w:w="2842" w:type="dxa"/>
            <w:gridSpan w:val="2"/>
            <w:noWrap w:val="0"/>
            <w:vAlign w:val="center"/>
          </w:tcPr>
          <w:p w14:paraId="01FA5B9A">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r>
      <w:tr w14:paraId="7E64C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Merge w:val="continue"/>
            <w:noWrap w:val="0"/>
            <w:vAlign w:val="center"/>
          </w:tcPr>
          <w:p w14:paraId="2E92EE80">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705" w:type="dxa"/>
            <w:noWrap w:val="0"/>
            <w:vAlign w:val="center"/>
          </w:tcPr>
          <w:p w14:paraId="523AC3FE">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负责人</w:t>
            </w:r>
          </w:p>
        </w:tc>
        <w:tc>
          <w:tcPr>
            <w:tcW w:w="1420" w:type="dxa"/>
            <w:noWrap w:val="0"/>
            <w:vAlign w:val="center"/>
          </w:tcPr>
          <w:p w14:paraId="46D66725">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c>
          <w:tcPr>
            <w:tcW w:w="1420" w:type="dxa"/>
            <w:noWrap w:val="0"/>
            <w:vAlign w:val="center"/>
          </w:tcPr>
          <w:p w14:paraId="73C5E835">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联系方式</w:t>
            </w:r>
          </w:p>
        </w:tc>
        <w:tc>
          <w:tcPr>
            <w:tcW w:w="2842" w:type="dxa"/>
            <w:gridSpan w:val="2"/>
            <w:noWrap w:val="0"/>
            <w:vAlign w:val="center"/>
          </w:tcPr>
          <w:p w14:paraId="634F4B71">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r>
      <w:tr w14:paraId="2B4A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Merge w:val="restart"/>
            <w:noWrap w:val="0"/>
            <w:vAlign w:val="center"/>
          </w:tcPr>
          <w:p w14:paraId="2AEC5998">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种植或采购</w:t>
            </w:r>
          </w:p>
          <w:p w14:paraId="47062D6D">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基地情况</w:t>
            </w:r>
          </w:p>
        </w:tc>
        <w:tc>
          <w:tcPr>
            <w:tcW w:w="1705" w:type="dxa"/>
            <w:noWrap w:val="0"/>
            <w:vAlign w:val="center"/>
          </w:tcPr>
          <w:p w14:paraId="3CCB5C03">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规</w:t>
            </w:r>
            <w:r>
              <w:rPr>
                <w:rStyle w:val="19"/>
                <w:rFonts w:hint="eastAsia" w:ascii="方正仿宋_GB2312" w:hAnsi="方正仿宋_GB2312" w:eastAsia="方正仿宋_GB2312" w:cs="方正仿宋_GB2312"/>
                <w:sz w:val="28"/>
                <w:szCs w:val="28"/>
                <w:highlight w:val="none"/>
                <w:lang w:val="en-US" w:eastAsia="zh-CN"/>
              </w:rPr>
              <w:t xml:space="preserve">  </w:t>
            </w:r>
            <w:r>
              <w:rPr>
                <w:rStyle w:val="19"/>
                <w:rFonts w:hint="eastAsia" w:ascii="方正仿宋_GB2312" w:hAnsi="方正仿宋_GB2312" w:eastAsia="方正仿宋_GB2312" w:cs="方正仿宋_GB2312"/>
                <w:sz w:val="28"/>
                <w:szCs w:val="28"/>
                <w:highlight w:val="none"/>
              </w:rPr>
              <w:t>模</w:t>
            </w:r>
          </w:p>
        </w:tc>
        <w:tc>
          <w:tcPr>
            <w:tcW w:w="1420" w:type="dxa"/>
            <w:noWrap w:val="0"/>
            <w:vAlign w:val="center"/>
          </w:tcPr>
          <w:p w14:paraId="1BB070AD">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c>
          <w:tcPr>
            <w:tcW w:w="1420" w:type="dxa"/>
            <w:noWrap w:val="0"/>
            <w:vAlign w:val="center"/>
          </w:tcPr>
          <w:p w14:paraId="4B4D6F6D">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基地地址</w:t>
            </w:r>
          </w:p>
          <w:p w14:paraId="3F4A70AF">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或区域</w:t>
            </w:r>
          </w:p>
        </w:tc>
        <w:tc>
          <w:tcPr>
            <w:tcW w:w="2842" w:type="dxa"/>
            <w:gridSpan w:val="2"/>
            <w:noWrap w:val="0"/>
            <w:vAlign w:val="center"/>
          </w:tcPr>
          <w:p w14:paraId="314EABB6">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r>
      <w:tr w14:paraId="67A77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Merge w:val="continue"/>
            <w:noWrap w:val="0"/>
            <w:vAlign w:val="center"/>
          </w:tcPr>
          <w:p w14:paraId="4CE55D72">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705" w:type="dxa"/>
            <w:vMerge w:val="restart"/>
            <w:noWrap w:val="0"/>
            <w:vAlign w:val="center"/>
          </w:tcPr>
          <w:p w14:paraId="1802D55C">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品种情况</w:t>
            </w:r>
          </w:p>
        </w:tc>
        <w:tc>
          <w:tcPr>
            <w:tcW w:w="1420" w:type="dxa"/>
            <w:noWrap w:val="0"/>
            <w:vAlign w:val="center"/>
          </w:tcPr>
          <w:p w14:paraId="220E2FEC">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品</w:t>
            </w:r>
            <w:r>
              <w:rPr>
                <w:rStyle w:val="19"/>
                <w:rFonts w:hint="eastAsia" w:ascii="方正仿宋_GB2312" w:hAnsi="方正仿宋_GB2312" w:eastAsia="方正仿宋_GB2312" w:cs="方正仿宋_GB2312"/>
                <w:sz w:val="28"/>
                <w:szCs w:val="28"/>
                <w:highlight w:val="none"/>
                <w:lang w:val="en-US" w:eastAsia="zh-CN"/>
              </w:rPr>
              <w:t xml:space="preserve">  </w:t>
            </w:r>
            <w:r>
              <w:rPr>
                <w:rStyle w:val="19"/>
                <w:rFonts w:hint="eastAsia" w:ascii="方正仿宋_GB2312" w:hAnsi="方正仿宋_GB2312" w:eastAsia="方正仿宋_GB2312" w:cs="方正仿宋_GB2312"/>
                <w:sz w:val="28"/>
                <w:szCs w:val="28"/>
                <w:highlight w:val="none"/>
              </w:rPr>
              <w:t>名</w:t>
            </w:r>
          </w:p>
        </w:tc>
        <w:tc>
          <w:tcPr>
            <w:tcW w:w="1420" w:type="dxa"/>
            <w:noWrap w:val="0"/>
            <w:vAlign w:val="center"/>
          </w:tcPr>
          <w:p w14:paraId="3FB340E8">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预计产量</w:t>
            </w:r>
          </w:p>
        </w:tc>
        <w:tc>
          <w:tcPr>
            <w:tcW w:w="1421" w:type="dxa"/>
            <w:noWrap w:val="0"/>
            <w:vAlign w:val="center"/>
          </w:tcPr>
          <w:p w14:paraId="0121E87C">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生长年限</w:t>
            </w:r>
          </w:p>
        </w:tc>
        <w:tc>
          <w:tcPr>
            <w:tcW w:w="1421" w:type="dxa"/>
            <w:noWrap w:val="0"/>
            <w:vAlign w:val="center"/>
          </w:tcPr>
          <w:p w14:paraId="6E769C7C">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采收时间</w:t>
            </w:r>
          </w:p>
        </w:tc>
      </w:tr>
      <w:tr w14:paraId="45554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691" w:type="dxa"/>
            <w:vMerge w:val="continue"/>
            <w:noWrap w:val="0"/>
            <w:vAlign w:val="center"/>
          </w:tcPr>
          <w:p w14:paraId="0414972C">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705" w:type="dxa"/>
            <w:vMerge w:val="continue"/>
            <w:noWrap w:val="0"/>
            <w:vAlign w:val="center"/>
          </w:tcPr>
          <w:p w14:paraId="22C2FCF0">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420" w:type="dxa"/>
            <w:noWrap w:val="0"/>
            <w:vAlign w:val="center"/>
          </w:tcPr>
          <w:p w14:paraId="219F5D37">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c>
          <w:tcPr>
            <w:tcW w:w="1420" w:type="dxa"/>
            <w:noWrap w:val="0"/>
            <w:vAlign w:val="center"/>
          </w:tcPr>
          <w:p w14:paraId="23F3C5B8">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c>
          <w:tcPr>
            <w:tcW w:w="1421" w:type="dxa"/>
            <w:noWrap w:val="0"/>
            <w:vAlign w:val="center"/>
          </w:tcPr>
          <w:p w14:paraId="29A36AB0">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c>
          <w:tcPr>
            <w:tcW w:w="1421" w:type="dxa"/>
            <w:noWrap w:val="0"/>
            <w:vAlign w:val="center"/>
          </w:tcPr>
          <w:p w14:paraId="0E17A0BB">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r>
      <w:tr w14:paraId="3B7D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691" w:type="dxa"/>
            <w:vMerge w:val="continue"/>
            <w:noWrap w:val="0"/>
            <w:vAlign w:val="center"/>
          </w:tcPr>
          <w:p w14:paraId="7F8257BA">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705" w:type="dxa"/>
            <w:vMerge w:val="continue"/>
            <w:noWrap w:val="0"/>
            <w:vAlign w:val="center"/>
          </w:tcPr>
          <w:p w14:paraId="2368CCC5">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420" w:type="dxa"/>
            <w:noWrap w:val="0"/>
            <w:vAlign w:val="center"/>
          </w:tcPr>
          <w:p w14:paraId="6528984E">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c>
          <w:tcPr>
            <w:tcW w:w="1420" w:type="dxa"/>
            <w:noWrap w:val="0"/>
            <w:vAlign w:val="center"/>
          </w:tcPr>
          <w:p w14:paraId="1031F260">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c>
          <w:tcPr>
            <w:tcW w:w="1421" w:type="dxa"/>
            <w:noWrap w:val="0"/>
            <w:vAlign w:val="center"/>
          </w:tcPr>
          <w:p w14:paraId="1A40F4B6">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c>
          <w:tcPr>
            <w:tcW w:w="1421" w:type="dxa"/>
            <w:noWrap w:val="0"/>
            <w:vAlign w:val="center"/>
          </w:tcPr>
          <w:p w14:paraId="02D39069">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r>
      <w:tr w14:paraId="22228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Merge w:val="restart"/>
            <w:noWrap w:val="0"/>
            <w:vAlign w:val="center"/>
          </w:tcPr>
          <w:p w14:paraId="3E0F7E90">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加工点</w:t>
            </w:r>
          </w:p>
          <w:p w14:paraId="503E8FA7">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基本情况</w:t>
            </w:r>
          </w:p>
        </w:tc>
        <w:tc>
          <w:tcPr>
            <w:tcW w:w="1705" w:type="dxa"/>
            <w:noWrap w:val="0"/>
            <w:vAlign w:val="center"/>
          </w:tcPr>
          <w:p w14:paraId="3164418C">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名</w:t>
            </w:r>
            <w:r>
              <w:rPr>
                <w:rStyle w:val="19"/>
                <w:rFonts w:hint="eastAsia" w:ascii="方正仿宋_GB2312" w:hAnsi="方正仿宋_GB2312" w:eastAsia="方正仿宋_GB2312" w:cs="方正仿宋_GB2312"/>
                <w:sz w:val="28"/>
                <w:szCs w:val="28"/>
                <w:highlight w:val="none"/>
                <w:lang w:val="en-US" w:eastAsia="zh-CN"/>
              </w:rPr>
              <w:t xml:space="preserve">  </w:t>
            </w:r>
            <w:r>
              <w:rPr>
                <w:rStyle w:val="19"/>
                <w:rFonts w:hint="eastAsia" w:ascii="方正仿宋_GB2312" w:hAnsi="方正仿宋_GB2312" w:eastAsia="方正仿宋_GB2312" w:cs="方正仿宋_GB2312"/>
                <w:sz w:val="28"/>
                <w:szCs w:val="28"/>
                <w:highlight w:val="none"/>
              </w:rPr>
              <w:t>称</w:t>
            </w:r>
          </w:p>
        </w:tc>
        <w:tc>
          <w:tcPr>
            <w:tcW w:w="1420" w:type="dxa"/>
            <w:noWrap w:val="0"/>
            <w:vAlign w:val="center"/>
          </w:tcPr>
          <w:p w14:paraId="0C3B103F">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c>
          <w:tcPr>
            <w:tcW w:w="1420" w:type="dxa"/>
            <w:noWrap w:val="0"/>
            <w:vAlign w:val="center"/>
          </w:tcPr>
          <w:p w14:paraId="49C28EC8">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地</w:t>
            </w:r>
            <w:r>
              <w:rPr>
                <w:rStyle w:val="19"/>
                <w:rFonts w:hint="eastAsia" w:ascii="方正仿宋_GB2312" w:hAnsi="方正仿宋_GB2312" w:eastAsia="方正仿宋_GB2312" w:cs="方正仿宋_GB2312"/>
                <w:sz w:val="28"/>
                <w:szCs w:val="28"/>
                <w:highlight w:val="none"/>
                <w:lang w:val="en-US" w:eastAsia="zh-CN"/>
              </w:rPr>
              <w:t xml:space="preserve">  </w:t>
            </w:r>
            <w:r>
              <w:rPr>
                <w:rStyle w:val="19"/>
                <w:rFonts w:hint="eastAsia" w:ascii="方正仿宋_GB2312" w:hAnsi="方正仿宋_GB2312" w:eastAsia="方正仿宋_GB2312" w:cs="方正仿宋_GB2312"/>
                <w:sz w:val="28"/>
                <w:szCs w:val="28"/>
                <w:highlight w:val="none"/>
              </w:rPr>
              <w:t>址</w:t>
            </w:r>
          </w:p>
        </w:tc>
        <w:tc>
          <w:tcPr>
            <w:tcW w:w="2842" w:type="dxa"/>
            <w:gridSpan w:val="2"/>
            <w:noWrap w:val="0"/>
            <w:vAlign w:val="center"/>
          </w:tcPr>
          <w:p w14:paraId="3DF0E66B">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r>
      <w:tr w14:paraId="49D71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Merge w:val="continue"/>
            <w:noWrap w:val="0"/>
            <w:vAlign w:val="center"/>
          </w:tcPr>
          <w:p w14:paraId="379390DE">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705" w:type="dxa"/>
            <w:noWrap w:val="0"/>
            <w:vAlign w:val="center"/>
          </w:tcPr>
          <w:p w14:paraId="6180FF39">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负责人</w:t>
            </w:r>
          </w:p>
        </w:tc>
        <w:tc>
          <w:tcPr>
            <w:tcW w:w="1420" w:type="dxa"/>
            <w:noWrap w:val="0"/>
            <w:vAlign w:val="center"/>
          </w:tcPr>
          <w:p w14:paraId="0CCD2977">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c>
          <w:tcPr>
            <w:tcW w:w="1420" w:type="dxa"/>
            <w:noWrap w:val="0"/>
            <w:vAlign w:val="center"/>
          </w:tcPr>
          <w:p w14:paraId="16BE0729">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联系方式</w:t>
            </w:r>
          </w:p>
        </w:tc>
        <w:tc>
          <w:tcPr>
            <w:tcW w:w="2842" w:type="dxa"/>
            <w:gridSpan w:val="2"/>
            <w:noWrap w:val="0"/>
            <w:vAlign w:val="center"/>
          </w:tcPr>
          <w:p w14:paraId="33E8F5E8">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r>
      <w:tr w14:paraId="73A4D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Merge w:val="continue"/>
            <w:noWrap w:val="0"/>
            <w:vAlign w:val="center"/>
          </w:tcPr>
          <w:p w14:paraId="42F4900D">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705" w:type="dxa"/>
            <w:vMerge w:val="restart"/>
            <w:noWrap w:val="0"/>
            <w:vAlign w:val="center"/>
          </w:tcPr>
          <w:p w14:paraId="1A512B69">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加工品种</w:t>
            </w:r>
          </w:p>
          <w:p w14:paraId="115E16AC">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情况</w:t>
            </w:r>
          </w:p>
        </w:tc>
        <w:tc>
          <w:tcPr>
            <w:tcW w:w="1420" w:type="dxa"/>
            <w:noWrap w:val="0"/>
            <w:vAlign w:val="center"/>
          </w:tcPr>
          <w:p w14:paraId="22627290">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品</w:t>
            </w:r>
            <w:r>
              <w:rPr>
                <w:rStyle w:val="19"/>
                <w:rFonts w:hint="eastAsia" w:ascii="方正仿宋_GB2312" w:hAnsi="方正仿宋_GB2312" w:eastAsia="方正仿宋_GB2312" w:cs="方正仿宋_GB2312"/>
                <w:sz w:val="28"/>
                <w:szCs w:val="28"/>
                <w:highlight w:val="none"/>
                <w:lang w:val="en-US" w:eastAsia="zh-CN"/>
              </w:rPr>
              <w:t xml:space="preserve">  </w:t>
            </w:r>
            <w:r>
              <w:rPr>
                <w:rStyle w:val="19"/>
                <w:rFonts w:hint="eastAsia" w:ascii="方正仿宋_GB2312" w:hAnsi="方正仿宋_GB2312" w:eastAsia="方正仿宋_GB2312" w:cs="方正仿宋_GB2312"/>
                <w:sz w:val="28"/>
                <w:szCs w:val="28"/>
                <w:highlight w:val="none"/>
              </w:rPr>
              <w:t>名</w:t>
            </w:r>
          </w:p>
        </w:tc>
        <w:tc>
          <w:tcPr>
            <w:tcW w:w="1420" w:type="dxa"/>
            <w:noWrap w:val="0"/>
            <w:vAlign w:val="center"/>
          </w:tcPr>
          <w:p w14:paraId="00F9DCD9">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规</w:t>
            </w:r>
            <w:r>
              <w:rPr>
                <w:rStyle w:val="19"/>
                <w:rFonts w:hint="eastAsia" w:ascii="方正仿宋_GB2312" w:hAnsi="方正仿宋_GB2312" w:eastAsia="方正仿宋_GB2312" w:cs="方正仿宋_GB2312"/>
                <w:sz w:val="28"/>
                <w:szCs w:val="28"/>
                <w:highlight w:val="none"/>
                <w:lang w:val="en-US" w:eastAsia="zh-CN"/>
              </w:rPr>
              <w:t xml:space="preserve">  </w:t>
            </w:r>
            <w:r>
              <w:rPr>
                <w:rStyle w:val="19"/>
                <w:rFonts w:hint="eastAsia" w:ascii="方正仿宋_GB2312" w:hAnsi="方正仿宋_GB2312" w:eastAsia="方正仿宋_GB2312" w:cs="方正仿宋_GB2312"/>
                <w:sz w:val="28"/>
                <w:szCs w:val="28"/>
                <w:highlight w:val="none"/>
              </w:rPr>
              <w:t>格</w:t>
            </w:r>
          </w:p>
        </w:tc>
        <w:tc>
          <w:tcPr>
            <w:tcW w:w="1421" w:type="dxa"/>
            <w:noWrap w:val="0"/>
            <w:vAlign w:val="center"/>
          </w:tcPr>
          <w:p w14:paraId="3BC582D0">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基</w:t>
            </w:r>
            <w:r>
              <w:rPr>
                <w:rStyle w:val="19"/>
                <w:rFonts w:hint="eastAsia" w:ascii="方正仿宋_GB2312" w:hAnsi="方正仿宋_GB2312" w:eastAsia="方正仿宋_GB2312" w:cs="方正仿宋_GB2312"/>
                <w:sz w:val="28"/>
                <w:szCs w:val="28"/>
                <w:highlight w:val="none"/>
                <w:lang w:val="en-US" w:eastAsia="zh-CN"/>
              </w:rPr>
              <w:t xml:space="preserve">  </w:t>
            </w:r>
            <w:r>
              <w:rPr>
                <w:rStyle w:val="19"/>
                <w:rFonts w:hint="eastAsia" w:ascii="方正仿宋_GB2312" w:hAnsi="方正仿宋_GB2312" w:eastAsia="方正仿宋_GB2312" w:cs="方正仿宋_GB2312"/>
                <w:sz w:val="28"/>
                <w:szCs w:val="28"/>
                <w:highlight w:val="none"/>
              </w:rPr>
              <w:t>原</w:t>
            </w:r>
          </w:p>
        </w:tc>
        <w:tc>
          <w:tcPr>
            <w:tcW w:w="1421" w:type="dxa"/>
            <w:noWrap w:val="0"/>
            <w:vAlign w:val="center"/>
          </w:tcPr>
          <w:p w14:paraId="6B544219">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执行标准</w:t>
            </w:r>
          </w:p>
        </w:tc>
      </w:tr>
      <w:tr w14:paraId="22D91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Merge w:val="continue"/>
            <w:noWrap w:val="0"/>
            <w:vAlign w:val="center"/>
          </w:tcPr>
          <w:p w14:paraId="4F6376F0">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705" w:type="dxa"/>
            <w:vMerge w:val="continue"/>
            <w:noWrap w:val="0"/>
            <w:vAlign w:val="center"/>
          </w:tcPr>
          <w:p w14:paraId="509E423D">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420" w:type="dxa"/>
            <w:noWrap w:val="0"/>
            <w:vAlign w:val="center"/>
          </w:tcPr>
          <w:p w14:paraId="4AA16A6E">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c>
          <w:tcPr>
            <w:tcW w:w="1420" w:type="dxa"/>
            <w:noWrap w:val="0"/>
            <w:vAlign w:val="center"/>
          </w:tcPr>
          <w:p w14:paraId="71C7BB3A">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c>
          <w:tcPr>
            <w:tcW w:w="1421" w:type="dxa"/>
            <w:noWrap w:val="0"/>
            <w:vAlign w:val="center"/>
          </w:tcPr>
          <w:p w14:paraId="10D98C01">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c>
          <w:tcPr>
            <w:tcW w:w="1421" w:type="dxa"/>
            <w:noWrap w:val="0"/>
            <w:vAlign w:val="center"/>
          </w:tcPr>
          <w:p w14:paraId="54887046">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r>
      <w:tr w14:paraId="71575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Merge w:val="continue"/>
            <w:noWrap w:val="0"/>
            <w:vAlign w:val="center"/>
          </w:tcPr>
          <w:p w14:paraId="5F22EE80">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705" w:type="dxa"/>
            <w:vMerge w:val="continue"/>
            <w:noWrap w:val="0"/>
            <w:vAlign w:val="center"/>
          </w:tcPr>
          <w:p w14:paraId="7F1A6212">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420" w:type="dxa"/>
            <w:noWrap w:val="0"/>
            <w:vAlign w:val="center"/>
          </w:tcPr>
          <w:p w14:paraId="496A54B9">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c>
          <w:tcPr>
            <w:tcW w:w="1420" w:type="dxa"/>
            <w:noWrap w:val="0"/>
            <w:vAlign w:val="center"/>
          </w:tcPr>
          <w:p w14:paraId="18A525EF">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c>
          <w:tcPr>
            <w:tcW w:w="1421" w:type="dxa"/>
            <w:noWrap w:val="0"/>
            <w:vAlign w:val="center"/>
          </w:tcPr>
          <w:p w14:paraId="0B7D7376">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sz w:val="28"/>
                <w:szCs w:val="28"/>
                <w:highlight w:val="none"/>
              </w:rPr>
            </w:pPr>
          </w:p>
        </w:tc>
        <w:tc>
          <w:tcPr>
            <w:tcW w:w="1421" w:type="dxa"/>
            <w:noWrap w:val="0"/>
            <w:vAlign w:val="center"/>
          </w:tcPr>
          <w:p w14:paraId="52C85820">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r>
      <w:tr w14:paraId="31820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Merge w:val="continue"/>
            <w:noWrap w:val="0"/>
            <w:vAlign w:val="center"/>
          </w:tcPr>
          <w:p w14:paraId="5A9B3F1D">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705" w:type="dxa"/>
            <w:vMerge w:val="restart"/>
            <w:noWrap w:val="0"/>
            <w:vAlign w:val="center"/>
          </w:tcPr>
          <w:p w14:paraId="4381082B">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主要设施</w:t>
            </w:r>
          </w:p>
          <w:p w14:paraId="29017166">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设备</w:t>
            </w:r>
          </w:p>
        </w:tc>
        <w:tc>
          <w:tcPr>
            <w:tcW w:w="1420" w:type="dxa"/>
            <w:noWrap w:val="0"/>
            <w:vAlign w:val="center"/>
          </w:tcPr>
          <w:p w14:paraId="3CC1A8E1">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名</w:t>
            </w:r>
            <w:r>
              <w:rPr>
                <w:rStyle w:val="19"/>
                <w:rFonts w:hint="eastAsia" w:ascii="方正仿宋_GB2312" w:hAnsi="方正仿宋_GB2312" w:eastAsia="方正仿宋_GB2312" w:cs="方正仿宋_GB2312"/>
                <w:sz w:val="28"/>
                <w:szCs w:val="28"/>
                <w:highlight w:val="none"/>
                <w:lang w:val="en-US" w:eastAsia="zh-CN"/>
              </w:rPr>
              <w:t xml:space="preserve">  </w:t>
            </w:r>
            <w:r>
              <w:rPr>
                <w:rStyle w:val="19"/>
                <w:rFonts w:hint="eastAsia" w:ascii="方正仿宋_GB2312" w:hAnsi="方正仿宋_GB2312" w:eastAsia="方正仿宋_GB2312" w:cs="方正仿宋_GB2312"/>
                <w:sz w:val="28"/>
                <w:szCs w:val="28"/>
                <w:highlight w:val="none"/>
              </w:rPr>
              <w:t>称</w:t>
            </w:r>
          </w:p>
        </w:tc>
        <w:tc>
          <w:tcPr>
            <w:tcW w:w="1420" w:type="dxa"/>
            <w:noWrap w:val="0"/>
            <w:vAlign w:val="center"/>
          </w:tcPr>
          <w:p w14:paraId="48B91685">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型号规格</w:t>
            </w:r>
          </w:p>
        </w:tc>
        <w:tc>
          <w:tcPr>
            <w:tcW w:w="1421" w:type="dxa"/>
            <w:noWrap w:val="0"/>
            <w:vAlign w:val="center"/>
          </w:tcPr>
          <w:p w14:paraId="3FF6D1CD">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性能指标</w:t>
            </w:r>
          </w:p>
        </w:tc>
        <w:tc>
          <w:tcPr>
            <w:tcW w:w="1421" w:type="dxa"/>
            <w:noWrap w:val="0"/>
            <w:vAlign w:val="center"/>
          </w:tcPr>
          <w:p w14:paraId="46F1710B">
            <w:pPr>
              <w:keepNext w:val="0"/>
              <w:keepLines w:val="0"/>
              <w:suppressLineNumbers w:val="0"/>
              <w:snapToGrid w:val="0"/>
              <w:spacing w:before="0" w:beforeLines="0" w:beforeAutospacing="0" w:after="0" w:afterLines="0" w:afterAutospacing="0" w:line="360" w:lineRule="exact"/>
              <w:ind w:left="0" w:leftChars="0" w:right="0" w:firstLine="0" w:firstLineChars="0"/>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备</w:t>
            </w:r>
            <w:r>
              <w:rPr>
                <w:rStyle w:val="19"/>
                <w:rFonts w:hint="eastAsia" w:ascii="方正仿宋_GB2312" w:hAnsi="方正仿宋_GB2312" w:eastAsia="方正仿宋_GB2312" w:cs="方正仿宋_GB2312"/>
                <w:sz w:val="28"/>
                <w:szCs w:val="28"/>
                <w:highlight w:val="none"/>
                <w:lang w:val="en-US" w:eastAsia="zh-CN"/>
              </w:rPr>
              <w:t xml:space="preserve">  </w:t>
            </w:r>
            <w:r>
              <w:rPr>
                <w:rStyle w:val="19"/>
                <w:rFonts w:hint="eastAsia" w:ascii="方正仿宋_GB2312" w:hAnsi="方正仿宋_GB2312" w:eastAsia="方正仿宋_GB2312" w:cs="方正仿宋_GB2312"/>
                <w:sz w:val="28"/>
                <w:szCs w:val="28"/>
                <w:highlight w:val="none"/>
              </w:rPr>
              <w:t>注</w:t>
            </w:r>
          </w:p>
        </w:tc>
      </w:tr>
      <w:tr w14:paraId="63F96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691" w:type="dxa"/>
            <w:vMerge w:val="continue"/>
            <w:noWrap w:val="0"/>
            <w:vAlign w:val="center"/>
          </w:tcPr>
          <w:p w14:paraId="673D910F">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705" w:type="dxa"/>
            <w:vMerge w:val="continue"/>
            <w:noWrap w:val="0"/>
            <w:vAlign w:val="center"/>
          </w:tcPr>
          <w:p w14:paraId="429BAEA7">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420" w:type="dxa"/>
            <w:noWrap w:val="0"/>
            <w:vAlign w:val="center"/>
          </w:tcPr>
          <w:p w14:paraId="368A976B">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c>
          <w:tcPr>
            <w:tcW w:w="1420" w:type="dxa"/>
            <w:noWrap w:val="0"/>
            <w:vAlign w:val="center"/>
          </w:tcPr>
          <w:p w14:paraId="021FEE31">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c>
          <w:tcPr>
            <w:tcW w:w="1421" w:type="dxa"/>
            <w:noWrap w:val="0"/>
            <w:vAlign w:val="center"/>
          </w:tcPr>
          <w:p w14:paraId="3DF9C866">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c>
          <w:tcPr>
            <w:tcW w:w="1421" w:type="dxa"/>
            <w:noWrap w:val="0"/>
            <w:vAlign w:val="center"/>
          </w:tcPr>
          <w:p w14:paraId="7B613C2F">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r>
      <w:tr w14:paraId="3079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691" w:type="dxa"/>
            <w:vMerge w:val="continue"/>
            <w:noWrap w:val="0"/>
            <w:vAlign w:val="center"/>
          </w:tcPr>
          <w:p w14:paraId="7A35C9A3">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705" w:type="dxa"/>
            <w:vMerge w:val="continue"/>
            <w:noWrap w:val="0"/>
            <w:vAlign w:val="center"/>
          </w:tcPr>
          <w:p w14:paraId="42D2EB2E">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420" w:type="dxa"/>
            <w:noWrap w:val="0"/>
            <w:vAlign w:val="center"/>
          </w:tcPr>
          <w:p w14:paraId="74B59574">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c>
          <w:tcPr>
            <w:tcW w:w="1420" w:type="dxa"/>
            <w:noWrap w:val="0"/>
            <w:vAlign w:val="center"/>
          </w:tcPr>
          <w:p w14:paraId="43CF5BB4">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c>
          <w:tcPr>
            <w:tcW w:w="1421" w:type="dxa"/>
            <w:noWrap w:val="0"/>
            <w:vAlign w:val="center"/>
          </w:tcPr>
          <w:p w14:paraId="7D23C17A">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c>
          <w:tcPr>
            <w:tcW w:w="1421" w:type="dxa"/>
            <w:noWrap w:val="0"/>
            <w:vAlign w:val="center"/>
          </w:tcPr>
          <w:p w14:paraId="5D80837E">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r>
      <w:tr w14:paraId="7FEBE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691" w:type="dxa"/>
            <w:vMerge w:val="continue"/>
            <w:noWrap w:val="0"/>
            <w:vAlign w:val="center"/>
          </w:tcPr>
          <w:p w14:paraId="3C2D7EED">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705" w:type="dxa"/>
            <w:vMerge w:val="continue"/>
            <w:noWrap w:val="0"/>
            <w:vAlign w:val="center"/>
          </w:tcPr>
          <w:p w14:paraId="1839DD71">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420" w:type="dxa"/>
            <w:noWrap w:val="0"/>
            <w:vAlign w:val="center"/>
          </w:tcPr>
          <w:p w14:paraId="390B8849">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c>
          <w:tcPr>
            <w:tcW w:w="1420" w:type="dxa"/>
            <w:noWrap w:val="0"/>
            <w:vAlign w:val="center"/>
          </w:tcPr>
          <w:p w14:paraId="4A342571">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c>
          <w:tcPr>
            <w:tcW w:w="1421" w:type="dxa"/>
            <w:noWrap w:val="0"/>
            <w:vAlign w:val="center"/>
          </w:tcPr>
          <w:p w14:paraId="7D9836CC">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c>
          <w:tcPr>
            <w:tcW w:w="1421" w:type="dxa"/>
            <w:noWrap w:val="0"/>
            <w:vAlign w:val="center"/>
          </w:tcPr>
          <w:p w14:paraId="1AD93981">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r>
      <w:tr w14:paraId="4E418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691" w:type="dxa"/>
            <w:vMerge w:val="continue"/>
            <w:noWrap w:val="0"/>
            <w:vAlign w:val="center"/>
          </w:tcPr>
          <w:p w14:paraId="1626F983">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705" w:type="dxa"/>
            <w:vMerge w:val="continue"/>
            <w:noWrap w:val="0"/>
            <w:vAlign w:val="center"/>
          </w:tcPr>
          <w:p w14:paraId="40B99EFE">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420" w:type="dxa"/>
            <w:noWrap w:val="0"/>
            <w:vAlign w:val="center"/>
          </w:tcPr>
          <w:p w14:paraId="59BD5E1F">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c>
          <w:tcPr>
            <w:tcW w:w="1420" w:type="dxa"/>
            <w:noWrap w:val="0"/>
            <w:vAlign w:val="center"/>
          </w:tcPr>
          <w:p w14:paraId="07F96098">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c>
          <w:tcPr>
            <w:tcW w:w="1421" w:type="dxa"/>
            <w:noWrap w:val="0"/>
            <w:vAlign w:val="center"/>
          </w:tcPr>
          <w:p w14:paraId="24960740">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c>
          <w:tcPr>
            <w:tcW w:w="1421" w:type="dxa"/>
            <w:noWrap w:val="0"/>
            <w:vAlign w:val="center"/>
          </w:tcPr>
          <w:p w14:paraId="25AAE188">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r>
      <w:tr w14:paraId="4DF26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691" w:type="dxa"/>
            <w:vMerge w:val="continue"/>
            <w:noWrap w:val="0"/>
            <w:vAlign w:val="center"/>
          </w:tcPr>
          <w:p w14:paraId="056C1B9F">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705" w:type="dxa"/>
            <w:vMerge w:val="continue"/>
            <w:noWrap w:val="0"/>
            <w:vAlign w:val="center"/>
          </w:tcPr>
          <w:p w14:paraId="1CCE9D35">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p>
        </w:tc>
        <w:tc>
          <w:tcPr>
            <w:tcW w:w="1420" w:type="dxa"/>
            <w:noWrap w:val="0"/>
            <w:vAlign w:val="center"/>
          </w:tcPr>
          <w:p w14:paraId="508E1BCD">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c>
          <w:tcPr>
            <w:tcW w:w="1420" w:type="dxa"/>
            <w:noWrap w:val="0"/>
            <w:vAlign w:val="center"/>
          </w:tcPr>
          <w:p w14:paraId="48567818">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c>
          <w:tcPr>
            <w:tcW w:w="1421" w:type="dxa"/>
            <w:noWrap w:val="0"/>
            <w:vAlign w:val="center"/>
          </w:tcPr>
          <w:p w14:paraId="1208C1E4">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c>
          <w:tcPr>
            <w:tcW w:w="1421" w:type="dxa"/>
            <w:noWrap w:val="0"/>
            <w:vAlign w:val="center"/>
          </w:tcPr>
          <w:p w14:paraId="3B072698">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r>
      <w:tr w14:paraId="26038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3" w:hRule="atLeast"/>
          <w:jc w:val="center"/>
        </w:trPr>
        <w:tc>
          <w:tcPr>
            <w:tcW w:w="1691" w:type="dxa"/>
            <w:noWrap w:val="0"/>
            <w:vAlign w:val="center"/>
          </w:tcPr>
          <w:p w14:paraId="208CB0D8">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企业简介</w:t>
            </w:r>
            <w:r>
              <w:rPr>
                <w:rStyle w:val="19"/>
                <w:rFonts w:hint="default" w:ascii="Times New Roman" w:hAnsi="Times New Roman" w:eastAsia="方正仿宋_GB2312" w:cs="Times New Roman"/>
                <w:sz w:val="28"/>
                <w:szCs w:val="28"/>
                <w:highlight w:val="none"/>
              </w:rPr>
              <w:t>（</w:t>
            </w:r>
            <w:r>
              <w:rPr>
                <w:rStyle w:val="19"/>
                <w:rFonts w:hint="default" w:ascii="Times New Roman" w:hAnsi="Times New Roman" w:eastAsia="方正仿宋_GB2312" w:cs="Times New Roman"/>
                <w:sz w:val="28"/>
                <w:szCs w:val="28"/>
                <w:highlight w:val="none"/>
                <w:lang w:val="en-US"/>
              </w:rPr>
              <w:t>500字以内</w:t>
            </w:r>
            <w:r>
              <w:rPr>
                <w:rStyle w:val="19"/>
                <w:rFonts w:hint="default" w:ascii="Times New Roman" w:hAnsi="Times New Roman" w:eastAsia="方正仿宋_GB2312" w:cs="Times New Roman"/>
                <w:sz w:val="28"/>
                <w:szCs w:val="28"/>
                <w:highlight w:val="none"/>
              </w:rPr>
              <w:t>）</w:t>
            </w:r>
          </w:p>
        </w:tc>
        <w:tc>
          <w:tcPr>
            <w:tcW w:w="7387" w:type="dxa"/>
            <w:gridSpan w:val="5"/>
            <w:noWrap w:val="0"/>
            <w:vAlign w:val="center"/>
          </w:tcPr>
          <w:p w14:paraId="6E4F61D0">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r>
      <w:tr w14:paraId="43E3E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1" w:hRule="atLeast"/>
          <w:jc w:val="center"/>
        </w:trPr>
        <w:tc>
          <w:tcPr>
            <w:tcW w:w="1691" w:type="dxa"/>
            <w:noWrap w:val="0"/>
            <w:vAlign w:val="center"/>
          </w:tcPr>
          <w:p w14:paraId="60950D3F">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主要负责人及质量管理人员情况</w:t>
            </w:r>
          </w:p>
        </w:tc>
        <w:tc>
          <w:tcPr>
            <w:tcW w:w="7387" w:type="dxa"/>
            <w:gridSpan w:val="5"/>
            <w:noWrap w:val="0"/>
            <w:vAlign w:val="center"/>
          </w:tcPr>
          <w:p w14:paraId="07906C17">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r>
      <w:tr w14:paraId="2826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5" w:hRule="atLeast"/>
          <w:jc w:val="center"/>
        </w:trPr>
        <w:tc>
          <w:tcPr>
            <w:tcW w:w="1691" w:type="dxa"/>
            <w:noWrap w:val="0"/>
            <w:vAlign w:val="center"/>
          </w:tcPr>
          <w:p w14:paraId="5FAB65DF">
            <w:pPr>
              <w:keepNext w:val="0"/>
              <w:keepLines w:val="0"/>
              <w:suppressLineNumbers w:val="0"/>
              <w:spacing w:before="0" w:beforeLines="0" w:beforeAutospacing="0" w:after="0" w:afterLines="0" w:afterAutospacing="0" w:line="360" w:lineRule="exact"/>
              <w:ind w:left="0" w:right="0"/>
              <w:jc w:val="center"/>
              <w:rPr>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设施设备清单及照片</w:t>
            </w:r>
          </w:p>
        </w:tc>
        <w:tc>
          <w:tcPr>
            <w:tcW w:w="7387" w:type="dxa"/>
            <w:gridSpan w:val="5"/>
            <w:noWrap w:val="0"/>
            <w:vAlign w:val="center"/>
          </w:tcPr>
          <w:p w14:paraId="0CA1E964">
            <w:pPr>
              <w:keepNext w:val="0"/>
              <w:keepLines w:val="0"/>
              <w:suppressLineNumbers w:val="0"/>
              <w:snapToGrid w:val="0"/>
              <w:spacing w:before="0" w:beforeLines="0" w:beforeAutospacing="0" w:after="0" w:afterLines="0" w:afterAutospacing="0" w:line="360" w:lineRule="exact"/>
              <w:ind w:left="0" w:right="0"/>
              <w:jc w:val="center"/>
              <w:rPr>
                <w:rStyle w:val="19"/>
                <w:rFonts w:hint="eastAsia" w:ascii="方正仿宋_GB2312" w:hAnsi="方正仿宋_GB2312" w:eastAsia="方正仿宋_GB2312" w:cs="方正仿宋_GB2312"/>
                <w:b/>
                <w:sz w:val="28"/>
                <w:szCs w:val="28"/>
                <w:highlight w:val="none"/>
              </w:rPr>
            </w:pPr>
          </w:p>
        </w:tc>
      </w:tr>
    </w:tbl>
    <w:p w14:paraId="74F148D6">
      <w:pPr>
        <w:bidi w:val="0"/>
        <w:jc w:val="both"/>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加工品种质量标准、加工工艺及质量控制文件</w:t>
      </w:r>
    </w:p>
    <w:tbl>
      <w:tblPr>
        <w:tblStyle w:val="13"/>
        <w:tblW w:w="8960" w:type="dxa"/>
        <w:jc w:val="center"/>
        <w:tblLayout w:type="autofit"/>
        <w:tblCellMar>
          <w:top w:w="0" w:type="dxa"/>
          <w:left w:w="28" w:type="dxa"/>
          <w:bottom w:w="0" w:type="dxa"/>
          <w:right w:w="28" w:type="dxa"/>
        </w:tblCellMar>
      </w:tblPr>
      <w:tblGrid>
        <w:gridCol w:w="1068"/>
        <w:gridCol w:w="1155"/>
        <w:gridCol w:w="6737"/>
      </w:tblGrid>
      <w:tr w14:paraId="087D66F2">
        <w:tblPrEx>
          <w:tblCellMar>
            <w:top w:w="0" w:type="dxa"/>
            <w:left w:w="28" w:type="dxa"/>
            <w:bottom w:w="0" w:type="dxa"/>
            <w:right w:w="28" w:type="dxa"/>
          </w:tblCellMar>
        </w:tblPrEx>
        <w:trPr>
          <w:trHeight w:val="567" w:hRule="exact"/>
          <w:jc w:val="center"/>
        </w:trPr>
        <w:tc>
          <w:tcPr>
            <w:tcW w:w="2223" w:type="dxa"/>
            <w:gridSpan w:val="2"/>
            <w:tcBorders>
              <w:top w:val="single" w:color="000000" w:sz="4" w:space="0"/>
              <w:left w:val="single" w:color="000000" w:sz="4" w:space="0"/>
              <w:bottom w:val="single" w:color="000000" w:sz="4" w:space="0"/>
              <w:right w:val="single" w:color="000000" w:sz="4" w:space="0"/>
            </w:tcBorders>
            <w:noWrap w:val="0"/>
            <w:vAlign w:val="center"/>
          </w:tcPr>
          <w:p w14:paraId="68C07C93">
            <w:pPr>
              <w:keepNext w:val="0"/>
              <w:keepLines w:val="0"/>
              <w:suppressLineNumbers w:val="0"/>
              <w:spacing w:before="0" w:beforeAutospacing="0" w:after="0" w:afterAutospacing="0" w:line="360" w:lineRule="exact"/>
              <w:ind w:left="0" w:right="0" w:firstLine="0" w:firstLineChars="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品名</w:t>
            </w:r>
          </w:p>
        </w:tc>
        <w:tc>
          <w:tcPr>
            <w:tcW w:w="6737" w:type="dxa"/>
            <w:tcBorders>
              <w:top w:val="single" w:color="000000" w:sz="4" w:space="0"/>
              <w:left w:val="single" w:color="000000" w:sz="4" w:space="0"/>
              <w:bottom w:val="single" w:color="000000" w:sz="4" w:space="0"/>
              <w:right w:val="single" w:color="000000" w:sz="4" w:space="0"/>
            </w:tcBorders>
            <w:noWrap w:val="0"/>
            <w:vAlign w:val="center"/>
          </w:tcPr>
          <w:p w14:paraId="58DFAB48">
            <w:pPr>
              <w:keepNext w:val="0"/>
              <w:keepLines w:val="0"/>
              <w:suppressLineNumbers w:val="0"/>
              <w:spacing w:before="0" w:beforeAutospacing="0" w:after="0" w:afterAutospacing="0" w:line="360" w:lineRule="exact"/>
              <w:ind w:left="0" w:right="0" w:firstLine="0" w:firstLineChars="0"/>
              <w:jc w:val="center"/>
              <w:textAlignment w:val="center"/>
              <w:rPr>
                <w:rFonts w:hint="eastAsia" w:ascii="仿宋_GB2312" w:hAnsi="仿宋_GB2312" w:eastAsia="仿宋_GB2312" w:cs="仿宋_GB2312"/>
                <w:color w:val="000000"/>
                <w:sz w:val="28"/>
                <w:szCs w:val="28"/>
              </w:rPr>
            </w:pPr>
          </w:p>
        </w:tc>
      </w:tr>
      <w:tr w14:paraId="2DFD397D">
        <w:tblPrEx>
          <w:tblCellMar>
            <w:top w:w="0" w:type="dxa"/>
            <w:left w:w="28" w:type="dxa"/>
            <w:bottom w:w="0" w:type="dxa"/>
            <w:right w:w="28" w:type="dxa"/>
          </w:tblCellMar>
        </w:tblPrEx>
        <w:trPr>
          <w:trHeight w:val="847" w:hRule="exact"/>
          <w:jc w:val="center"/>
        </w:trPr>
        <w:tc>
          <w:tcPr>
            <w:tcW w:w="2223" w:type="dxa"/>
            <w:gridSpan w:val="2"/>
            <w:tcBorders>
              <w:top w:val="single" w:color="000000" w:sz="4" w:space="0"/>
              <w:left w:val="single" w:color="000000" w:sz="4" w:space="0"/>
              <w:bottom w:val="single" w:color="000000" w:sz="4" w:space="0"/>
              <w:right w:val="single" w:color="000000" w:sz="4" w:space="0"/>
            </w:tcBorders>
            <w:noWrap w:val="0"/>
            <w:vAlign w:val="center"/>
          </w:tcPr>
          <w:p w14:paraId="41CC39A6">
            <w:pPr>
              <w:keepNext w:val="0"/>
              <w:keepLines w:val="0"/>
              <w:suppressLineNumbers w:val="0"/>
              <w:spacing w:before="0" w:beforeAutospacing="0" w:after="0" w:afterAutospacing="0" w:line="360" w:lineRule="exact"/>
              <w:ind w:left="0" w:right="0" w:firstLine="0" w:firstLineChars="0"/>
              <w:jc w:val="center"/>
              <w:textAlignment w:val="center"/>
              <w:rPr>
                <w:rFonts w:hint="eastAsia" w:ascii="仿宋_GB2312" w:hAnsi="仿宋_GB2312" w:eastAsia="仿宋_GB2312" w:cs="仿宋_GB2312"/>
                <w:color w:val="000000"/>
                <w:sz w:val="28"/>
                <w:szCs w:val="28"/>
                <w:lang w:val="en"/>
              </w:rPr>
            </w:pPr>
            <w:r>
              <w:rPr>
                <w:rFonts w:hint="eastAsia" w:ascii="仿宋_GB2312" w:hAnsi="仿宋_GB2312" w:eastAsia="仿宋_GB2312" w:cs="仿宋_GB2312"/>
                <w:color w:val="000000"/>
                <w:kern w:val="0"/>
                <w:sz w:val="28"/>
                <w:szCs w:val="28"/>
                <w:lang w:eastAsia="zh-CN" w:bidi="ar"/>
              </w:rPr>
              <w:t>标准</w:t>
            </w:r>
          </w:p>
        </w:tc>
        <w:tc>
          <w:tcPr>
            <w:tcW w:w="6737" w:type="dxa"/>
            <w:tcBorders>
              <w:top w:val="single" w:color="000000" w:sz="4" w:space="0"/>
              <w:left w:val="single" w:color="000000" w:sz="4" w:space="0"/>
              <w:bottom w:val="single" w:color="000000" w:sz="4" w:space="0"/>
              <w:right w:val="single" w:color="000000" w:sz="4" w:space="0"/>
            </w:tcBorders>
            <w:noWrap w:val="0"/>
            <w:vAlign w:val="center"/>
          </w:tcPr>
          <w:p w14:paraId="47532702">
            <w:pPr>
              <w:keepNext w:val="0"/>
              <w:keepLines w:val="0"/>
              <w:suppressLineNumbers w:val="0"/>
              <w:spacing w:before="0" w:beforeAutospacing="0" w:after="0" w:afterAutospacing="0" w:line="240" w:lineRule="auto"/>
              <w:ind w:left="0" w:right="0"/>
              <w:jc w:val="both"/>
              <w:textAlignment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lang w:eastAsia="zh-CN"/>
              </w:rPr>
              <w:t>□《中国药典》</w:t>
            </w:r>
            <w:r>
              <w:rPr>
                <w:rFonts w:hint="eastAsia" w:ascii="仿宋_GB2312" w:hAnsi="仿宋_GB2312" w:eastAsia="仿宋_GB2312" w:cs="仿宋_GB2312"/>
                <w:sz w:val="22"/>
                <w:szCs w:val="22"/>
                <w:lang w:val="en-US" w:eastAsia="zh-CN"/>
              </w:rPr>
              <w:t xml:space="preserve">  </w:t>
            </w: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rPr>
              <w:t>四川省中药饮片炮制规范</w:t>
            </w:r>
            <w:r>
              <w:rPr>
                <w:rFonts w:hint="eastAsia" w:ascii="仿宋_GB2312" w:hAnsi="仿宋_GB2312" w:eastAsia="仿宋_GB2312" w:cs="仿宋_GB2312"/>
                <w:sz w:val="22"/>
                <w:szCs w:val="22"/>
                <w:lang w:val="en-US" w:eastAsia="zh-CN"/>
              </w:rPr>
              <w:t xml:space="preserve">  </w:t>
            </w: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rPr>
              <w:t>四川省中药材标准</w:t>
            </w:r>
          </w:p>
          <w:p w14:paraId="1A602C58">
            <w:pPr>
              <w:keepNext w:val="0"/>
              <w:keepLines w:val="0"/>
              <w:suppressLineNumbers w:val="0"/>
              <w:spacing w:before="0" w:beforeAutospacing="0" w:after="0" w:afterAutospacing="0" w:line="240" w:lineRule="auto"/>
              <w:ind w:left="0" w:right="0"/>
              <w:jc w:val="both"/>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sz w:val="22"/>
                <w:szCs w:val="22"/>
                <w:lang w:val="en-US" w:eastAsia="zh-CN"/>
              </w:rPr>
              <w:t>□其他</w:t>
            </w:r>
          </w:p>
        </w:tc>
      </w:tr>
      <w:tr w14:paraId="1C08D25A">
        <w:tblPrEx>
          <w:tblCellMar>
            <w:top w:w="0" w:type="dxa"/>
            <w:left w:w="28" w:type="dxa"/>
            <w:bottom w:w="0" w:type="dxa"/>
            <w:right w:w="28" w:type="dxa"/>
          </w:tblCellMar>
        </w:tblPrEx>
        <w:trPr>
          <w:trHeight w:val="521" w:hRule="exact"/>
          <w:jc w:val="center"/>
        </w:trPr>
        <w:tc>
          <w:tcPr>
            <w:tcW w:w="2223" w:type="dxa"/>
            <w:gridSpan w:val="2"/>
            <w:tcBorders>
              <w:top w:val="single" w:color="000000" w:sz="4" w:space="0"/>
              <w:left w:val="single" w:color="000000" w:sz="4" w:space="0"/>
              <w:bottom w:val="single" w:color="000000" w:sz="4" w:space="0"/>
              <w:right w:val="single" w:color="000000" w:sz="4" w:space="0"/>
            </w:tcBorders>
            <w:noWrap w:val="0"/>
            <w:vAlign w:val="center"/>
          </w:tcPr>
          <w:p w14:paraId="7B695052">
            <w:pPr>
              <w:keepNext w:val="0"/>
              <w:keepLines w:val="0"/>
              <w:suppressLineNumbers w:val="0"/>
              <w:spacing w:before="0" w:beforeAutospacing="0" w:after="0" w:afterAutospacing="0" w:line="360" w:lineRule="exact"/>
              <w:ind w:left="0" w:right="0" w:firstLine="0" w:firstLineChars="0"/>
              <w:jc w:val="center"/>
              <w:textAlignment w:val="center"/>
              <w:rPr>
                <w:rFonts w:hint="eastAsia" w:ascii="仿宋_GB2312" w:hAnsi="仿宋_GB2312" w:eastAsia="仿宋_GB2312" w:cs="仿宋_GB2312"/>
                <w:color w:val="000000"/>
                <w:kern w:val="0"/>
                <w:sz w:val="28"/>
                <w:szCs w:val="28"/>
                <w:lang w:eastAsia="zh-CN" w:bidi="ar"/>
              </w:rPr>
            </w:pPr>
            <w:r>
              <w:rPr>
                <w:rFonts w:hint="eastAsia" w:ascii="仿宋_GB2312" w:hAnsi="仿宋_GB2312" w:eastAsia="仿宋_GB2312" w:cs="仿宋_GB2312"/>
                <w:color w:val="000000"/>
                <w:kern w:val="0"/>
                <w:sz w:val="28"/>
                <w:szCs w:val="28"/>
                <w:lang w:eastAsia="zh-CN" w:bidi="ar"/>
              </w:rPr>
              <w:t>类别</w:t>
            </w:r>
          </w:p>
        </w:tc>
        <w:tc>
          <w:tcPr>
            <w:tcW w:w="6737" w:type="dxa"/>
            <w:tcBorders>
              <w:top w:val="single" w:color="000000" w:sz="4" w:space="0"/>
              <w:left w:val="single" w:color="000000" w:sz="4" w:space="0"/>
              <w:bottom w:val="single" w:color="000000" w:sz="4" w:space="0"/>
              <w:right w:val="single" w:color="000000" w:sz="4" w:space="0"/>
            </w:tcBorders>
            <w:noWrap w:val="0"/>
            <w:vAlign w:val="center"/>
          </w:tcPr>
          <w:p w14:paraId="791C8CB5">
            <w:pPr>
              <w:keepNext w:val="0"/>
              <w:keepLines w:val="0"/>
              <w:suppressLineNumbers w:val="0"/>
              <w:spacing w:before="0" w:beforeAutospacing="0" w:after="0" w:afterAutospacing="0" w:line="360" w:lineRule="exact"/>
              <w:ind w:left="0" w:right="0" w:firstLine="0" w:firstLineChars="0"/>
              <w:jc w:val="both"/>
              <w:textAlignment w:val="center"/>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color w:val="000000"/>
                <w:sz w:val="22"/>
                <w:szCs w:val="22"/>
                <w:lang w:eastAsia="zh-CN"/>
              </w:rPr>
              <w:t>□</w:t>
            </w:r>
            <w:r>
              <w:rPr>
                <w:rFonts w:hint="eastAsia" w:ascii="仿宋_GB2312" w:hAnsi="仿宋_GB2312" w:eastAsia="仿宋_GB2312" w:cs="仿宋_GB2312"/>
                <w:color w:val="000000"/>
                <w:sz w:val="22"/>
                <w:szCs w:val="22"/>
              </w:rPr>
              <w:t>片</w:t>
            </w:r>
            <w:r>
              <w:rPr>
                <w:rFonts w:hint="eastAsia" w:ascii="仿宋_GB2312" w:hAnsi="仿宋_GB2312" w:eastAsia="仿宋_GB2312" w:cs="仿宋_GB2312"/>
                <w:color w:val="000000"/>
                <w:sz w:val="22"/>
                <w:szCs w:val="22"/>
                <w:lang w:val="en-US" w:eastAsia="zh-CN"/>
              </w:rPr>
              <w:t xml:space="preserve"> </w:t>
            </w:r>
            <w:r>
              <w:rPr>
                <w:rFonts w:hint="eastAsia" w:ascii="仿宋_GB2312" w:hAnsi="仿宋_GB2312" w:eastAsia="仿宋_GB2312" w:cs="仿宋_GB2312"/>
                <w:color w:val="000000"/>
                <w:sz w:val="22"/>
                <w:szCs w:val="22"/>
              </w:rPr>
              <w:t xml:space="preserve">  □段</w:t>
            </w:r>
            <w:r>
              <w:rPr>
                <w:rFonts w:hint="eastAsia" w:ascii="仿宋_GB2312" w:hAnsi="仿宋_GB2312" w:eastAsia="仿宋_GB2312" w:cs="仿宋_GB2312"/>
                <w:color w:val="000000"/>
                <w:sz w:val="22"/>
                <w:szCs w:val="22"/>
                <w:lang w:val="en-US" w:eastAsia="zh-CN"/>
              </w:rPr>
              <w:t xml:space="preserve"> </w:t>
            </w:r>
            <w:r>
              <w:rPr>
                <w:rFonts w:hint="eastAsia" w:ascii="仿宋_GB2312" w:hAnsi="仿宋_GB2312" w:eastAsia="仿宋_GB2312" w:cs="仿宋_GB2312"/>
                <w:color w:val="000000"/>
                <w:sz w:val="22"/>
                <w:szCs w:val="22"/>
              </w:rPr>
              <w:t xml:space="preserve">  □块</w:t>
            </w:r>
            <w:r>
              <w:rPr>
                <w:rFonts w:hint="eastAsia" w:ascii="仿宋_GB2312" w:hAnsi="仿宋_GB2312" w:eastAsia="仿宋_GB2312" w:cs="仿宋_GB2312"/>
                <w:color w:val="000000"/>
                <w:sz w:val="22"/>
                <w:szCs w:val="22"/>
                <w:lang w:val="en-US" w:eastAsia="zh-CN"/>
              </w:rPr>
              <w:t xml:space="preserve">   </w:t>
            </w: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color w:val="000000"/>
                <w:sz w:val="22"/>
                <w:szCs w:val="22"/>
              </w:rPr>
              <w:t>丝</w:t>
            </w:r>
            <w:r>
              <w:rPr>
                <w:rFonts w:hint="eastAsia" w:ascii="仿宋_GB2312" w:hAnsi="仿宋_GB2312" w:eastAsia="仿宋_GB2312" w:cs="仿宋_GB2312"/>
                <w:color w:val="000000"/>
                <w:sz w:val="22"/>
                <w:szCs w:val="22"/>
                <w:lang w:val="en-US" w:eastAsia="zh-CN"/>
              </w:rPr>
              <w:t xml:space="preserve">   </w:t>
            </w:r>
            <w:r>
              <w:rPr>
                <w:rFonts w:hint="eastAsia" w:ascii="仿宋_GB2312" w:hAnsi="仿宋_GB2312" w:eastAsia="仿宋_GB2312" w:cs="仿宋_GB2312"/>
                <w:sz w:val="22"/>
                <w:szCs w:val="22"/>
                <w:lang w:eastAsia="zh-CN"/>
              </w:rPr>
              <w:t>□瓣</w:t>
            </w:r>
            <w:r>
              <w:rPr>
                <w:rFonts w:hint="eastAsia" w:ascii="仿宋_GB2312" w:hAnsi="仿宋_GB2312" w:eastAsia="仿宋_GB2312" w:cs="仿宋_GB2312"/>
                <w:sz w:val="22"/>
                <w:szCs w:val="22"/>
                <w:lang w:val="en-US" w:eastAsia="zh-CN"/>
              </w:rPr>
              <w:t xml:space="preserve">   </w:t>
            </w:r>
            <w:r>
              <w:rPr>
                <w:rFonts w:hint="eastAsia" w:ascii="仿宋_GB2312" w:hAnsi="仿宋_GB2312" w:eastAsia="仿宋_GB2312" w:cs="仿宋_GB2312"/>
                <w:sz w:val="22"/>
                <w:szCs w:val="22"/>
                <w:lang w:eastAsia="zh-CN"/>
              </w:rPr>
              <w:t>□去心</w:t>
            </w:r>
            <w:r>
              <w:rPr>
                <w:rFonts w:hint="eastAsia" w:ascii="仿宋_GB2312" w:hAnsi="仿宋_GB2312" w:eastAsia="仿宋_GB2312" w:cs="仿宋_GB2312"/>
                <w:sz w:val="22"/>
                <w:szCs w:val="22"/>
                <w:lang w:val="en-US" w:eastAsia="zh-CN"/>
              </w:rPr>
              <w:t xml:space="preserve">   □其他</w:t>
            </w:r>
            <w:r>
              <w:rPr>
                <w:rFonts w:hint="eastAsia" w:ascii="仿宋_GB2312" w:hAnsi="仿宋_GB2312" w:eastAsia="仿宋_GB2312" w:cs="仿宋_GB2312"/>
                <w:color w:val="000000"/>
                <w:sz w:val="22"/>
                <w:szCs w:val="22"/>
                <w:u w:val="single"/>
                <w:lang w:val="en-US" w:eastAsia="zh-CN"/>
              </w:rPr>
              <w:t xml:space="preserve">       </w:t>
            </w:r>
          </w:p>
        </w:tc>
      </w:tr>
      <w:tr w14:paraId="7D149187">
        <w:tblPrEx>
          <w:tblCellMar>
            <w:top w:w="0" w:type="dxa"/>
            <w:left w:w="28" w:type="dxa"/>
            <w:bottom w:w="0" w:type="dxa"/>
            <w:right w:w="28" w:type="dxa"/>
          </w:tblCellMar>
        </w:tblPrEx>
        <w:trPr>
          <w:trHeight w:val="9143" w:hRule="atLeast"/>
          <w:jc w:val="center"/>
        </w:trPr>
        <w:tc>
          <w:tcPr>
            <w:tcW w:w="1068" w:type="dxa"/>
            <w:tcBorders>
              <w:top w:val="single" w:color="000000" w:sz="4" w:space="0"/>
              <w:left w:val="single" w:color="000000" w:sz="4" w:space="0"/>
              <w:bottom w:val="single" w:color="000000" w:sz="4" w:space="0"/>
              <w:right w:val="single" w:color="000000" w:sz="4" w:space="0"/>
            </w:tcBorders>
            <w:noWrap w:val="0"/>
            <w:vAlign w:val="center"/>
          </w:tcPr>
          <w:p w14:paraId="3390CAFF">
            <w:pPr>
              <w:keepNext w:val="0"/>
              <w:keepLines w:val="0"/>
              <w:suppressLineNumbers w:val="0"/>
              <w:spacing w:before="0" w:beforeAutospacing="0" w:after="0" w:afterAutospacing="0" w:line="360" w:lineRule="exact"/>
              <w:ind w:left="0" w:right="0" w:firstLine="0" w:firstLineChars="0"/>
              <w:jc w:val="center"/>
              <w:textAlignment w:val="center"/>
              <w:rPr>
                <w:rFonts w:hint="eastAsia" w:ascii="Times New Roman" w:hAnsi="Times New Roman" w:eastAsia="仿宋_GB2312"/>
                <w:color w:val="000000"/>
                <w:kern w:val="0"/>
                <w:sz w:val="28"/>
                <w:szCs w:val="28"/>
                <w:lang w:bidi="ar"/>
              </w:rPr>
            </w:pPr>
            <w:r>
              <w:rPr>
                <w:rFonts w:hint="eastAsia" w:ascii="Times New Roman" w:hAnsi="Times New Roman" w:eastAsia="仿宋_GB2312"/>
                <w:color w:val="000000"/>
                <w:kern w:val="0"/>
                <w:sz w:val="28"/>
                <w:szCs w:val="28"/>
                <w:lang w:bidi="ar"/>
              </w:rPr>
              <w:t>药材</w:t>
            </w:r>
          </w:p>
          <w:p w14:paraId="6CF29F81">
            <w:pPr>
              <w:keepNext w:val="0"/>
              <w:keepLines w:val="0"/>
              <w:suppressLineNumbers w:val="0"/>
              <w:spacing w:before="0" w:beforeAutospacing="0" w:after="0" w:afterAutospacing="0" w:line="360" w:lineRule="exact"/>
              <w:ind w:left="0" w:right="0" w:firstLine="0" w:firstLineChars="0"/>
              <w:jc w:val="center"/>
              <w:textAlignment w:val="center"/>
              <w:rPr>
                <w:rFonts w:hint="eastAsia" w:ascii="Times New Roman" w:hAnsi="Times New Roman" w:eastAsia="仿宋_GB2312"/>
                <w:color w:val="000000"/>
                <w:sz w:val="28"/>
                <w:szCs w:val="28"/>
                <w:lang w:eastAsia="zh-CN"/>
              </w:rPr>
            </w:pPr>
            <w:r>
              <w:rPr>
                <w:rFonts w:hint="eastAsia" w:ascii="Times New Roman" w:hAnsi="Times New Roman" w:eastAsia="仿宋_GB2312"/>
                <w:color w:val="000000"/>
                <w:sz w:val="28"/>
                <w:szCs w:val="28"/>
                <w:lang w:eastAsia="zh-CN"/>
              </w:rPr>
              <w:t>基原</w:t>
            </w:r>
          </w:p>
        </w:tc>
        <w:tc>
          <w:tcPr>
            <w:tcW w:w="7892" w:type="dxa"/>
            <w:gridSpan w:val="2"/>
            <w:tcBorders>
              <w:top w:val="single" w:color="000000" w:sz="4" w:space="0"/>
              <w:left w:val="single" w:color="000000" w:sz="4" w:space="0"/>
              <w:bottom w:val="single" w:color="000000" w:sz="4" w:space="0"/>
              <w:right w:val="single" w:color="000000" w:sz="4" w:space="0"/>
            </w:tcBorders>
            <w:noWrap w:val="0"/>
            <w:vAlign w:val="center"/>
          </w:tcPr>
          <w:p w14:paraId="38DDA083">
            <w:pPr>
              <w:keepNext w:val="0"/>
              <w:keepLines w:val="0"/>
              <w:suppressLineNumbers w:val="0"/>
              <w:spacing w:before="0" w:beforeAutospacing="0" w:after="0" w:afterAutospacing="0" w:line="360" w:lineRule="exact"/>
              <w:ind w:left="0" w:right="0" w:firstLine="0" w:firstLineChars="0"/>
              <w:jc w:val="center"/>
              <w:textAlignment w:val="center"/>
              <w:rPr>
                <w:rFonts w:hint="eastAsia" w:ascii="Times New Roman" w:hAnsi="Times New Roman" w:eastAsia="仿宋_GB2312"/>
                <w:color w:val="000000"/>
                <w:sz w:val="28"/>
                <w:szCs w:val="28"/>
                <w:lang w:eastAsia="zh-CN"/>
              </w:rPr>
            </w:pPr>
            <w:r>
              <w:rPr>
                <w:rFonts w:hint="eastAsia" w:ascii="Times New Roman" w:hAnsi="Times New Roman" w:eastAsia="仿宋_GB2312"/>
                <w:color w:val="000000"/>
                <w:sz w:val="28"/>
                <w:szCs w:val="28"/>
                <w:lang w:eastAsia="zh-CN"/>
              </w:rPr>
              <w:t>（从科名、种名、拉丁学名、药用部位、采收产地等方面填写））</w:t>
            </w:r>
          </w:p>
        </w:tc>
      </w:tr>
      <w:tr w14:paraId="3C991C08">
        <w:tblPrEx>
          <w:tblCellMar>
            <w:top w:w="0" w:type="dxa"/>
            <w:left w:w="28" w:type="dxa"/>
            <w:bottom w:w="0" w:type="dxa"/>
            <w:right w:w="28" w:type="dxa"/>
          </w:tblCellMar>
        </w:tblPrEx>
        <w:trPr>
          <w:trHeight w:val="12630" w:hRule="atLeast"/>
          <w:jc w:val="center"/>
        </w:trPr>
        <w:tc>
          <w:tcPr>
            <w:tcW w:w="1068" w:type="dxa"/>
            <w:tcBorders>
              <w:top w:val="single" w:color="000000" w:sz="4" w:space="0"/>
              <w:left w:val="single" w:color="000000" w:sz="4" w:space="0"/>
              <w:bottom w:val="single" w:color="000000" w:sz="4" w:space="0"/>
              <w:right w:val="single" w:color="000000" w:sz="4" w:space="0"/>
            </w:tcBorders>
            <w:noWrap w:val="0"/>
            <w:vAlign w:val="center"/>
          </w:tcPr>
          <w:p w14:paraId="72591AA0">
            <w:pPr>
              <w:keepNext w:val="0"/>
              <w:keepLines w:val="0"/>
              <w:suppressLineNumbers w:val="0"/>
              <w:spacing w:before="0" w:beforeAutospacing="0" w:after="0" w:afterAutospacing="0" w:line="360" w:lineRule="exact"/>
              <w:ind w:left="0" w:right="0" w:firstLine="0" w:firstLineChars="0"/>
              <w:jc w:val="center"/>
              <w:textAlignment w:val="center"/>
              <w:rPr>
                <w:rFonts w:hint="eastAsia" w:ascii="Times New Roman" w:hAnsi="Times New Roman" w:eastAsia="仿宋_GB2312"/>
                <w:color w:val="000000"/>
                <w:kern w:val="0"/>
                <w:sz w:val="28"/>
                <w:szCs w:val="28"/>
                <w:lang w:bidi="ar"/>
              </w:rPr>
            </w:pPr>
            <w:r>
              <w:rPr>
                <w:rFonts w:hint="eastAsia" w:ascii="Times New Roman" w:hAnsi="Times New Roman" w:eastAsia="仿宋_GB2312"/>
                <w:color w:val="000000"/>
                <w:kern w:val="0"/>
                <w:sz w:val="28"/>
                <w:szCs w:val="28"/>
                <w:lang w:bidi="ar"/>
              </w:rPr>
              <w:t>加工</w:t>
            </w:r>
          </w:p>
          <w:p w14:paraId="475212D4">
            <w:pPr>
              <w:keepNext w:val="0"/>
              <w:keepLines w:val="0"/>
              <w:suppressLineNumbers w:val="0"/>
              <w:spacing w:before="0" w:beforeAutospacing="0" w:after="0" w:afterAutospacing="0" w:line="360" w:lineRule="exact"/>
              <w:ind w:left="0" w:right="0" w:firstLine="0" w:firstLineChars="0"/>
              <w:jc w:val="center"/>
              <w:textAlignment w:val="center"/>
              <w:rPr>
                <w:rFonts w:hint="eastAsia" w:ascii="Times New Roman" w:hAnsi="Times New Roman" w:eastAsia="仿宋_GB2312"/>
                <w:color w:val="000000"/>
                <w:kern w:val="0"/>
                <w:sz w:val="28"/>
                <w:szCs w:val="28"/>
                <w:lang w:bidi="ar"/>
              </w:rPr>
            </w:pPr>
            <w:r>
              <w:rPr>
                <w:rFonts w:hint="eastAsia" w:ascii="Times New Roman" w:hAnsi="Times New Roman" w:eastAsia="仿宋_GB2312"/>
                <w:color w:val="000000"/>
                <w:kern w:val="0"/>
                <w:sz w:val="28"/>
                <w:szCs w:val="28"/>
                <w:lang w:bidi="ar"/>
              </w:rPr>
              <w:t>工艺</w:t>
            </w:r>
          </w:p>
          <w:p w14:paraId="46BDC5A7">
            <w:pPr>
              <w:keepNext w:val="0"/>
              <w:keepLines w:val="0"/>
              <w:suppressLineNumbers w:val="0"/>
              <w:spacing w:before="0" w:beforeAutospacing="0" w:after="0" w:afterAutospacing="0" w:line="360" w:lineRule="exact"/>
              <w:ind w:left="0" w:right="0" w:firstLine="0" w:firstLineChars="0"/>
              <w:jc w:val="center"/>
              <w:textAlignment w:val="center"/>
              <w:rPr>
                <w:rFonts w:hint="default" w:ascii="Times New Roman" w:hAnsi="Times New Roman" w:eastAsia="仿宋_GB2312"/>
                <w:color w:val="000000"/>
                <w:sz w:val="28"/>
                <w:szCs w:val="28"/>
              </w:rPr>
            </w:pPr>
          </w:p>
        </w:tc>
        <w:tc>
          <w:tcPr>
            <w:tcW w:w="7892" w:type="dxa"/>
            <w:gridSpan w:val="2"/>
            <w:tcBorders>
              <w:top w:val="single" w:color="000000" w:sz="4" w:space="0"/>
              <w:left w:val="single" w:color="000000" w:sz="4" w:space="0"/>
              <w:bottom w:val="single" w:color="000000" w:sz="4" w:space="0"/>
              <w:right w:val="single" w:color="000000" w:sz="4" w:space="0"/>
            </w:tcBorders>
            <w:noWrap w:val="0"/>
            <w:vAlign w:val="center"/>
          </w:tcPr>
          <w:p w14:paraId="0675CFA7">
            <w:pPr>
              <w:keepNext w:val="0"/>
              <w:keepLines w:val="0"/>
              <w:suppressLineNumbers w:val="0"/>
              <w:spacing w:before="0" w:beforeAutospacing="0" w:after="0" w:afterAutospacing="0" w:line="360" w:lineRule="exact"/>
              <w:ind w:left="0" w:right="0" w:firstLine="0" w:firstLineChars="0"/>
              <w:jc w:val="center"/>
              <w:textAlignment w:val="center"/>
              <w:rPr>
                <w:rFonts w:hint="eastAsia" w:ascii="Times New Roman" w:hAnsi="Times New Roman" w:eastAsia="仿宋_GB2312"/>
                <w:color w:val="000000"/>
                <w:sz w:val="28"/>
                <w:szCs w:val="28"/>
                <w:lang w:eastAsia="zh-CN"/>
              </w:rPr>
            </w:pPr>
            <w:r>
              <w:rPr>
                <w:rFonts w:hint="eastAsia" w:ascii="Times New Roman" w:hAnsi="Times New Roman" w:eastAsia="仿宋_GB2312"/>
                <w:color w:val="000000"/>
                <w:sz w:val="28"/>
                <w:szCs w:val="28"/>
                <w:lang w:eastAsia="zh-CN"/>
              </w:rPr>
              <w:t>（详细写明该品种加工工序）</w:t>
            </w:r>
          </w:p>
        </w:tc>
      </w:tr>
      <w:tr w14:paraId="3E1E46F3">
        <w:tblPrEx>
          <w:tblCellMar>
            <w:top w:w="0" w:type="dxa"/>
            <w:left w:w="28" w:type="dxa"/>
            <w:bottom w:w="0" w:type="dxa"/>
            <w:right w:w="28" w:type="dxa"/>
          </w:tblCellMar>
        </w:tblPrEx>
        <w:trPr>
          <w:trHeight w:val="12630" w:hRule="atLeast"/>
          <w:jc w:val="center"/>
        </w:trPr>
        <w:tc>
          <w:tcPr>
            <w:tcW w:w="1068" w:type="dxa"/>
            <w:tcBorders>
              <w:top w:val="single" w:color="000000" w:sz="4" w:space="0"/>
              <w:left w:val="single" w:color="000000" w:sz="4" w:space="0"/>
              <w:bottom w:val="single" w:color="000000" w:sz="4" w:space="0"/>
              <w:right w:val="single" w:color="000000" w:sz="4" w:space="0"/>
            </w:tcBorders>
            <w:noWrap w:val="0"/>
            <w:vAlign w:val="center"/>
          </w:tcPr>
          <w:p w14:paraId="53ADDE21">
            <w:pPr>
              <w:keepNext w:val="0"/>
              <w:keepLines w:val="0"/>
              <w:suppressLineNumbers w:val="0"/>
              <w:spacing w:before="0" w:beforeAutospacing="0" w:after="0" w:afterAutospacing="0" w:line="360" w:lineRule="exact"/>
              <w:ind w:left="0" w:right="0" w:firstLine="0" w:firstLineChars="0"/>
              <w:jc w:val="center"/>
              <w:textAlignment w:val="center"/>
              <w:rPr>
                <w:rFonts w:hint="eastAsia" w:ascii="Times New Roman" w:hAnsi="Times New Roman" w:eastAsia="仿宋_GB2312"/>
                <w:color w:val="000000"/>
                <w:kern w:val="0"/>
                <w:sz w:val="28"/>
                <w:szCs w:val="28"/>
                <w:lang w:bidi="ar"/>
              </w:rPr>
            </w:pPr>
            <w:r>
              <w:rPr>
                <w:rFonts w:hint="eastAsia" w:ascii="Times New Roman" w:hAnsi="Times New Roman" w:eastAsia="仿宋_GB2312"/>
                <w:color w:val="000000"/>
                <w:kern w:val="0"/>
                <w:sz w:val="28"/>
                <w:szCs w:val="28"/>
                <w:lang w:bidi="ar"/>
              </w:rPr>
              <w:t>质量</w:t>
            </w:r>
          </w:p>
          <w:p w14:paraId="3F4824A0">
            <w:pPr>
              <w:keepNext w:val="0"/>
              <w:keepLines w:val="0"/>
              <w:suppressLineNumbers w:val="0"/>
              <w:spacing w:before="0" w:beforeAutospacing="0" w:after="0" w:afterAutospacing="0" w:line="360" w:lineRule="exact"/>
              <w:ind w:left="0" w:right="0" w:firstLine="0" w:firstLineChars="0"/>
              <w:jc w:val="center"/>
              <w:textAlignment w:val="center"/>
              <w:rPr>
                <w:rFonts w:hint="eastAsia" w:ascii="Times New Roman" w:hAnsi="Times New Roman" w:eastAsia="仿宋_GB2312"/>
                <w:color w:val="000000"/>
                <w:kern w:val="0"/>
                <w:sz w:val="28"/>
                <w:szCs w:val="28"/>
                <w:lang w:eastAsia="zh-CN" w:bidi="ar"/>
              </w:rPr>
            </w:pPr>
            <w:r>
              <w:rPr>
                <w:rFonts w:hint="eastAsia" w:ascii="Times New Roman" w:hAnsi="Times New Roman" w:eastAsia="仿宋_GB2312"/>
                <w:color w:val="000000"/>
                <w:kern w:val="0"/>
                <w:sz w:val="28"/>
                <w:szCs w:val="28"/>
                <w:lang w:eastAsia="zh-CN" w:bidi="ar"/>
              </w:rPr>
              <w:t>控制</w:t>
            </w:r>
          </w:p>
        </w:tc>
        <w:tc>
          <w:tcPr>
            <w:tcW w:w="7892" w:type="dxa"/>
            <w:gridSpan w:val="2"/>
            <w:tcBorders>
              <w:top w:val="single" w:color="000000" w:sz="4" w:space="0"/>
              <w:left w:val="single" w:color="000000" w:sz="4" w:space="0"/>
              <w:bottom w:val="single" w:color="000000" w:sz="4" w:space="0"/>
              <w:right w:val="single" w:color="000000" w:sz="4" w:space="0"/>
            </w:tcBorders>
            <w:noWrap w:val="0"/>
            <w:vAlign w:val="center"/>
          </w:tcPr>
          <w:p w14:paraId="205DE74E">
            <w:pPr>
              <w:keepNext w:val="0"/>
              <w:keepLines w:val="0"/>
              <w:suppressLineNumbers w:val="0"/>
              <w:spacing w:before="0" w:beforeAutospacing="0" w:after="0" w:afterAutospacing="0" w:line="360" w:lineRule="exact"/>
              <w:ind w:left="0" w:right="0" w:firstLine="0" w:firstLineChars="0"/>
              <w:jc w:val="center"/>
              <w:textAlignment w:val="center"/>
              <w:rPr>
                <w:rFonts w:hint="eastAsia" w:ascii="Times New Roman" w:hAnsi="Times New Roman" w:eastAsia="仿宋_GB2312"/>
                <w:color w:val="000000"/>
                <w:sz w:val="28"/>
                <w:szCs w:val="28"/>
                <w:lang w:eastAsia="zh-CN"/>
              </w:rPr>
            </w:pPr>
            <w:r>
              <w:rPr>
                <w:rFonts w:hint="eastAsia" w:ascii="Times New Roman" w:hAnsi="Times New Roman" w:eastAsia="仿宋_GB2312"/>
                <w:color w:val="000000"/>
                <w:sz w:val="28"/>
                <w:szCs w:val="28"/>
                <w:lang w:eastAsia="zh-CN"/>
              </w:rPr>
              <w:t>（详细列明质量控制要点及相关记录）</w:t>
            </w:r>
          </w:p>
        </w:tc>
      </w:tr>
    </w:tbl>
    <w:p w14:paraId="536CBAEA">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r>
        <w:rPr>
          <w:rStyle w:val="19"/>
          <w:rFonts w:hint="eastAsia" w:ascii="方正小标宋简体" w:hAnsi="方正小标宋简体" w:eastAsia="方正小标宋简体" w:cs="方正小标宋简体"/>
          <w:sz w:val="44"/>
          <w:szCs w:val="44"/>
          <w:highlight w:val="none"/>
        </w:rPr>
        <w:t>营业执照复印件</w:t>
      </w:r>
    </w:p>
    <w:p w14:paraId="6DFF2A81">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56C74C6C">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49E3C197">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5737CE20">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62A806D2">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0C6A556E">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69C55B48">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6E8DD421">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373F0CF6">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48E54498">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26A52F09">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64605C13">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42E63FC4">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07F84F2F">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08CABD22">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32676ED5">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0271E4BC">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168FC7A1">
      <w:pPr>
        <w:snapToGrid w:val="0"/>
        <w:spacing w:beforeLines="0" w:afterLines="0" w:line="480" w:lineRule="exact"/>
        <w:ind w:left="0" w:leftChars="0" w:firstLine="0" w:firstLineChars="0"/>
        <w:jc w:val="both"/>
        <w:rPr>
          <w:rStyle w:val="19"/>
          <w:rFonts w:hint="eastAsia" w:ascii="方正小标宋简体" w:hAnsi="方正小标宋简体" w:eastAsia="方正小标宋简体" w:cs="方正小标宋简体"/>
          <w:sz w:val="44"/>
          <w:szCs w:val="44"/>
          <w:highlight w:val="none"/>
        </w:rPr>
      </w:pPr>
    </w:p>
    <w:p w14:paraId="631DF3EA">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696CD715">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04D23824">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2ADABEA5">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6F353F33">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17F6EF54">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25867F4D">
      <w:pPr>
        <w:snapToGrid w:val="0"/>
        <w:spacing w:beforeLines="0" w:afterLines="0" w:line="480" w:lineRule="exact"/>
        <w:ind w:left="0" w:leftChars="0" w:firstLine="0" w:firstLineChars="0"/>
        <w:jc w:val="center"/>
        <w:rPr>
          <w:rStyle w:val="19"/>
          <w:rFonts w:hint="eastAsia" w:ascii="方正小标宋简体" w:hAnsi="方正小标宋简体" w:eastAsia="方正小标宋简体" w:cs="方正小标宋简体"/>
          <w:sz w:val="44"/>
          <w:szCs w:val="44"/>
          <w:highlight w:val="none"/>
        </w:rPr>
      </w:pPr>
    </w:p>
    <w:p w14:paraId="013CA7AA">
      <w:pPr>
        <w:snapToGrid w:val="0"/>
        <w:spacing w:beforeLines="0" w:afterLines="0" w:line="480" w:lineRule="exact"/>
        <w:ind w:left="0" w:leftChars="0" w:firstLine="0" w:firstLineChars="0"/>
        <w:jc w:val="center"/>
        <w:rPr>
          <w:rFonts w:ascii="Times New Roman" w:hAnsi="Times New Roman" w:eastAsia="仿宋_GB2312"/>
          <w:sz w:val="28"/>
          <w:szCs w:val="28"/>
        </w:rPr>
      </w:pPr>
      <w:r>
        <w:rPr>
          <w:rStyle w:val="19"/>
          <w:rFonts w:hint="eastAsia" w:ascii="方正小标宋简体" w:hAnsi="方正小标宋简体" w:eastAsia="方正小标宋简体" w:cs="方正小标宋简体"/>
          <w:sz w:val="44"/>
          <w:szCs w:val="44"/>
          <w:highlight w:val="none"/>
        </w:rPr>
        <w:t>生产场地所有权或使用权证明</w:t>
      </w:r>
    </w:p>
    <w:p w14:paraId="5C62EA98">
      <w:pPr>
        <w:snapToGrid w:val="0"/>
        <w:spacing w:beforeLines="0" w:afterLines="0" w:line="480" w:lineRule="exact"/>
        <w:jc w:val="center"/>
        <w:rPr>
          <w:rStyle w:val="19"/>
          <w:rFonts w:hint="eastAsia" w:ascii="方正仿宋_GB2312" w:hAnsi="方正仿宋_GB2312" w:eastAsia="方正仿宋_GB2312" w:cs="方正仿宋_GB2312"/>
          <w:sz w:val="28"/>
          <w:szCs w:val="28"/>
          <w:highlight w:val="none"/>
        </w:rPr>
      </w:pPr>
      <w:r>
        <w:rPr>
          <w:rStyle w:val="19"/>
          <w:rFonts w:hint="eastAsia" w:ascii="方正仿宋_GB2312" w:hAnsi="方正仿宋_GB2312" w:eastAsia="方正仿宋_GB2312" w:cs="方正仿宋_GB2312"/>
          <w:sz w:val="28"/>
          <w:szCs w:val="28"/>
          <w:highlight w:val="none"/>
        </w:rPr>
        <w:t>（合同或土地证）</w:t>
      </w:r>
    </w:p>
    <w:p w14:paraId="3773A8F5">
      <w:pPr>
        <w:pStyle w:val="2"/>
        <w:rPr>
          <w:rStyle w:val="19"/>
          <w:rFonts w:hint="eastAsia" w:ascii="方正仿宋_GB2312" w:hAnsi="方正仿宋_GB2312" w:eastAsia="方正仿宋_GB2312" w:cs="方正仿宋_GB2312"/>
          <w:sz w:val="28"/>
          <w:szCs w:val="28"/>
          <w:highlight w:val="none"/>
        </w:rPr>
        <w:sectPr>
          <w:footerReference r:id="rId3" w:type="default"/>
          <w:pgSz w:w="11906" w:h="16838"/>
          <w:pgMar w:top="2098" w:right="1474" w:bottom="1984" w:left="1587" w:header="851" w:footer="992" w:gutter="0"/>
          <w:pgNumType w:fmt="numberInDash"/>
          <w:cols w:space="720" w:num="1"/>
          <w:docGrid w:type="lines" w:linePitch="312" w:charSpace="0"/>
        </w:sectPr>
      </w:pPr>
    </w:p>
    <w:p w14:paraId="5657D758">
      <w:pPr>
        <w:keepLines w:val="0"/>
        <w:pageBreakBefore w:val="0"/>
        <w:widowControl w:val="0"/>
        <w:kinsoku/>
        <w:overflowPunct/>
        <w:autoSpaceDE/>
        <w:autoSpaceDN/>
        <w:bidi w:val="0"/>
        <w:adjustRightInd/>
        <w:snapToGrid w:val="0"/>
        <w:spacing w:after="0" w:line="580" w:lineRule="exact"/>
        <w:jc w:val="center"/>
        <w:textAlignment w:val="auto"/>
        <w:rPr>
          <w:rFonts w:hint="eastAsia" w:ascii="方正小标宋_GBK" w:hAnsi="方正小标宋_GBK" w:eastAsia="方正小标宋_GBK" w:cs="方正小标宋_GBK"/>
          <w:b/>
          <w:bCs/>
          <w:kern w:val="2"/>
          <w:sz w:val="44"/>
          <w:szCs w:val="44"/>
          <w:highlight w:val="none"/>
          <w:lang w:eastAsia="zh-CN"/>
        </w:rPr>
      </w:pPr>
    </w:p>
    <w:p w14:paraId="5F218361">
      <w:pPr>
        <w:keepLines w:val="0"/>
        <w:pageBreakBefore w:val="0"/>
        <w:widowControl w:val="0"/>
        <w:kinsoku/>
        <w:overflowPunct/>
        <w:autoSpaceDE/>
        <w:autoSpaceDN/>
        <w:bidi w:val="0"/>
        <w:adjustRightInd/>
        <w:snapToGrid w:val="0"/>
        <w:spacing w:beforeLines="0" w:after="0" w:afterLines="0" w:line="200" w:lineRule="exact"/>
        <w:jc w:val="center"/>
        <w:textAlignment w:val="auto"/>
        <w:rPr>
          <w:rFonts w:hint="default" w:ascii="Times New Roman" w:hAnsi="Times New Roman" w:eastAsia="方正小标宋简体" w:cs="Times New Roman"/>
          <w:b/>
          <w:bCs/>
          <w:kern w:val="2"/>
          <w:sz w:val="44"/>
          <w:szCs w:val="44"/>
          <w:highlight w:val="none"/>
          <w:lang w:eastAsia="zh-CN"/>
        </w:rPr>
      </w:pPr>
    </w:p>
    <w:p w14:paraId="63227173">
      <w:pPr>
        <w:keepLines w:val="0"/>
        <w:pageBreakBefore w:val="0"/>
        <w:widowControl w:val="0"/>
        <w:kinsoku/>
        <w:overflowPunct/>
        <w:autoSpaceDE/>
        <w:autoSpaceDN/>
        <w:bidi w:val="0"/>
        <w:adjustRightInd/>
        <w:spacing w:after="0" w:line="240" w:lineRule="auto"/>
        <w:jc w:val="both"/>
        <w:textAlignment w:val="auto"/>
        <w:rPr>
          <w:rFonts w:hint="eastAsia" w:ascii="黑体" w:hAnsi="黑体" w:eastAsia="黑体" w:cs="黑体"/>
          <w:b/>
          <w:bCs/>
          <w:color w:val="000000"/>
          <w:kern w:val="2"/>
          <w:sz w:val="32"/>
          <w:szCs w:val="32"/>
          <w:highlight w:val="none"/>
          <w:lang w:eastAsia="zh-CN"/>
        </w:rPr>
      </w:pPr>
      <w:r>
        <w:rPr>
          <w:rFonts w:hint="eastAsia" w:ascii="黑体" w:hAnsi="黑体" w:eastAsia="黑体" w:cs="黑体"/>
          <w:b/>
          <w:bCs/>
          <w:color w:val="000000"/>
          <w:kern w:val="2"/>
          <w:sz w:val="32"/>
          <w:szCs w:val="32"/>
          <w:highlight w:val="none"/>
          <w:lang w:eastAsia="zh-CN"/>
        </w:rPr>
        <w:t>附件</w:t>
      </w:r>
      <w:r>
        <w:rPr>
          <w:rFonts w:hint="eastAsia" w:ascii="Times New Roman" w:hAnsi="Times New Roman" w:eastAsia="黑体" w:cs="Times New Roman"/>
          <w:b/>
          <w:bCs/>
          <w:color w:val="000000"/>
          <w:kern w:val="2"/>
          <w:sz w:val="32"/>
          <w:szCs w:val="32"/>
          <w:highlight w:val="none"/>
          <w:lang w:val="en-US" w:eastAsia="zh-CN"/>
        </w:rPr>
        <w:t>2</w:t>
      </w:r>
    </w:p>
    <w:p w14:paraId="7616164D">
      <w:pPr>
        <w:keepLines w:val="0"/>
        <w:pageBreakBefore w:val="0"/>
        <w:widowControl w:val="0"/>
        <w:kinsoku/>
        <w:overflowPunct/>
        <w:autoSpaceDE/>
        <w:autoSpaceDN/>
        <w:bidi w:val="0"/>
        <w:adjustRightInd/>
        <w:spacing w:after="0" w:line="240" w:lineRule="auto"/>
        <w:jc w:val="center"/>
        <w:textAlignment w:val="auto"/>
        <w:rPr>
          <w:rFonts w:hint="eastAsia" w:ascii="楷体" w:hAnsi="楷体" w:eastAsia="楷体" w:cs="楷体"/>
          <w:b/>
          <w:bCs/>
          <w:color w:val="000000"/>
          <w:kern w:val="0"/>
          <w:sz w:val="28"/>
          <w:szCs w:val="28"/>
          <w:highlight w:val="none"/>
          <w:lang w:eastAsia="zh-CN"/>
        </w:rPr>
      </w:pPr>
      <w:r>
        <w:rPr>
          <w:rFonts w:hint="eastAsia" w:ascii="方正小标宋简体" w:hAnsi="方正小标宋简体" w:eastAsia="方正小标宋简体" w:cs="方正小标宋简体"/>
          <w:b/>
          <w:bCs/>
          <w:kern w:val="2"/>
          <w:sz w:val="44"/>
          <w:szCs w:val="44"/>
          <w:highlight w:val="none"/>
          <w:lang w:eastAsia="zh-CN"/>
        </w:rPr>
        <w:t>中药材产地加工（趁鲜切制）遴选企业检查表</w:t>
      </w:r>
    </w:p>
    <w:p w14:paraId="7A12C4CC">
      <w:pPr>
        <w:keepLines w:val="0"/>
        <w:pageBreakBefore w:val="0"/>
        <w:widowControl w:val="0"/>
        <w:kinsoku/>
        <w:overflowPunct/>
        <w:autoSpaceDE/>
        <w:autoSpaceDN/>
        <w:bidi w:val="0"/>
        <w:adjustRightInd/>
        <w:spacing w:after="0" w:line="240" w:lineRule="auto"/>
        <w:jc w:val="left"/>
        <w:textAlignment w:val="auto"/>
        <w:rPr>
          <w:rFonts w:hint="eastAsia" w:ascii="楷体" w:hAnsi="楷体" w:eastAsia="楷体" w:cs="楷体"/>
          <w:b/>
          <w:bCs/>
          <w:color w:val="000000"/>
          <w:kern w:val="0"/>
          <w:sz w:val="28"/>
          <w:szCs w:val="28"/>
          <w:highlight w:val="none"/>
          <w:lang w:eastAsia="zh-CN"/>
        </w:rPr>
      </w:pPr>
      <w:r>
        <w:rPr>
          <w:rFonts w:hint="eastAsia" w:ascii="楷体" w:hAnsi="楷体" w:eastAsia="楷体" w:cs="楷体"/>
          <w:b/>
          <w:bCs/>
          <w:color w:val="000000"/>
          <w:kern w:val="0"/>
          <w:sz w:val="28"/>
          <w:szCs w:val="28"/>
          <w:highlight w:val="none"/>
          <w:lang w:eastAsia="zh-CN"/>
        </w:rPr>
        <w:t xml:space="preserve">趁鲜加工企业名称：                     </w:t>
      </w:r>
      <w:r>
        <w:rPr>
          <w:rFonts w:hint="eastAsia" w:ascii="楷体" w:hAnsi="楷体" w:eastAsia="楷体" w:cs="楷体"/>
          <w:b/>
          <w:bCs/>
          <w:color w:val="000000"/>
          <w:kern w:val="0"/>
          <w:sz w:val="28"/>
          <w:szCs w:val="28"/>
          <w:highlight w:val="none"/>
          <w:lang w:val="en-US" w:eastAsia="zh-CN"/>
        </w:rPr>
        <w:t xml:space="preserve">    </w:t>
      </w:r>
      <w:r>
        <w:rPr>
          <w:rFonts w:hint="eastAsia" w:ascii="楷体" w:hAnsi="楷体" w:eastAsia="楷体" w:cs="楷体"/>
          <w:b/>
          <w:bCs/>
          <w:color w:val="000000"/>
          <w:kern w:val="0"/>
          <w:sz w:val="28"/>
          <w:szCs w:val="28"/>
          <w:highlight w:val="none"/>
          <w:lang w:eastAsia="zh-CN"/>
        </w:rPr>
        <w:t xml:space="preserve">地址：            </w:t>
      </w:r>
      <w:r>
        <w:rPr>
          <w:rFonts w:hint="eastAsia" w:ascii="楷体" w:hAnsi="楷体" w:eastAsia="楷体" w:cs="楷体"/>
          <w:b/>
          <w:bCs/>
          <w:color w:val="000000"/>
          <w:kern w:val="0"/>
          <w:sz w:val="28"/>
          <w:szCs w:val="28"/>
          <w:highlight w:val="none"/>
          <w:lang w:val="en-US" w:eastAsia="zh-CN"/>
        </w:rPr>
        <w:t xml:space="preserve">      检</w:t>
      </w:r>
      <w:r>
        <w:rPr>
          <w:rFonts w:hint="eastAsia" w:ascii="楷体" w:hAnsi="楷体" w:eastAsia="楷体" w:cs="楷体"/>
          <w:b/>
          <w:bCs/>
          <w:color w:val="000000"/>
          <w:kern w:val="0"/>
          <w:sz w:val="28"/>
          <w:szCs w:val="28"/>
          <w:highlight w:val="none"/>
          <w:lang w:eastAsia="zh-CN"/>
        </w:rPr>
        <w:t>查日期：</w:t>
      </w:r>
    </w:p>
    <w:tbl>
      <w:tblPr>
        <w:tblStyle w:val="13"/>
        <w:tblW w:w="556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8" w:type="dxa"/>
          <w:left w:w="108" w:type="dxa"/>
          <w:bottom w:w="0" w:type="dxa"/>
          <w:right w:w="108" w:type="dxa"/>
        </w:tblCellMar>
      </w:tblPr>
      <w:tblGrid>
        <w:gridCol w:w="1614"/>
        <w:gridCol w:w="1232"/>
        <w:gridCol w:w="4190"/>
        <w:gridCol w:w="3596"/>
        <w:gridCol w:w="1310"/>
        <w:gridCol w:w="1395"/>
      </w:tblGrid>
      <w:tr w14:paraId="7A588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97" w:hRule="atLeast"/>
          <w:tblHeader/>
          <w:jc w:val="center"/>
        </w:trPr>
        <w:tc>
          <w:tcPr>
            <w:tcW w:w="605" w:type="pct"/>
            <w:noWrap w:val="0"/>
            <w:vAlign w:val="center"/>
          </w:tcPr>
          <w:p w14:paraId="55A7BC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outlineLvl w:val="9"/>
              <w:rPr>
                <w:rFonts w:hint="eastAsia" w:ascii="黑体" w:hAnsi="黑体" w:eastAsia="黑体" w:cs="黑体"/>
                <w:b/>
                <w:bCs/>
                <w:color w:val="000000"/>
                <w:kern w:val="0"/>
                <w:sz w:val="21"/>
                <w:szCs w:val="21"/>
                <w:highlight w:val="none"/>
                <w:lang w:eastAsia="zh-CN"/>
              </w:rPr>
            </w:pPr>
            <w:r>
              <w:rPr>
                <w:rFonts w:hint="eastAsia" w:ascii="黑体" w:hAnsi="黑体" w:eastAsia="黑体" w:cs="黑体"/>
                <w:b/>
                <w:bCs/>
                <w:color w:val="000000"/>
                <w:kern w:val="0"/>
                <w:sz w:val="21"/>
                <w:szCs w:val="21"/>
                <w:highlight w:val="none"/>
                <w:lang w:eastAsia="zh-CN"/>
              </w:rPr>
              <w:t>序号</w:t>
            </w:r>
          </w:p>
        </w:tc>
        <w:tc>
          <w:tcPr>
            <w:tcW w:w="462" w:type="pct"/>
            <w:noWrap w:val="0"/>
            <w:vAlign w:val="center"/>
          </w:tcPr>
          <w:p w14:paraId="682411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outlineLvl w:val="9"/>
              <w:rPr>
                <w:rFonts w:hint="eastAsia" w:ascii="黑体" w:hAnsi="黑体" w:eastAsia="黑体" w:cs="黑体"/>
                <w:b/>
                <w:bCs/>
                <w:color w:val="000000"/>
                <w:kern w:val="0"/>
                <w:sz w:val="21"/>
                <w:szCs w:val="21"/>
                <w:highlight w:val="none"/>
                <w:lang w:eastAsia="zh-CN"/>
              </w:rPr>
            </w:pPr>
            <w:r>
              <w:rPr>
                <w:rFonts w:hint="eastAsia" w:ascii="黑体" w:hAnsi="黑体" w:eastAsia="黑体" w:cs="黑体"/>
                <w:b/>
                <w:bCs/>
                <w:color w:val="000000"/>
                <w:kern w:val="0"/>
                <w:sz w:val="21"/>
                <w:szCs w:val="21"/>
                <w:highlight w:val="none"/>
                <w:lang w:eastAsia="zh-CN"/>
              </w:rPr>
              <w:t>自查项目</w:t>
            </w:r>
          </w:p>
        </w:tc>
        <w:tc>
          <w:tcPr>
            <w:tcW w:w="2919" w:type="pct"/>
            <w:gridSpan w:val="2"/>
            <w:noWrap w:val="0"/>
            <w:vAlign w:val="center"/>
          </w:tcPr>
          <w:p w14:paraId="3B0140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outlineLvl w:val="9"/>
              <w:rPr>
                <w:rFonts w:hint="eastAsia" w:ascii="黑体" w:hAnsi="黑体" w:eastAsia="黑体" w:cs="黑体"/>
                <w:b/>
                <w:bCs/>
                <w:color w:val="000000"/>
                <w:kern w:val="0"/>
                <w:sz w:val="21"/>
                <w:szCs w:val="21"/>
                <w:highlight w:val="none"/>
                <w:lang w:eastAsia="zh-CN"/>
              </w:rPr>
            </w:pPr>
            <w:r>
              <w:rPr>
                <w:rFonts w:hint="eastAsia" w:ascii="黑体" w:hAnsi="黑体" w:eastAsia="黑体" w:cs="黑体"/>
                <w:b/>
                <w:bCs/>
                <w:color w:val="000000"/>
                <w:kern w:val="0"/>
                <w:sz w:val="21"/>
                <w:szCs w:val="21"/>
                <w:highlight w:val="none"/>
                <w:lang w:eastAsia="zh-CN"/>
              </w:rPr>
              <w:t>检查要求</w:t>
            </w:r>
          </w:p>
        </w:tc>
        <w:tc>
          <w:tcPr>
            <w:tcW w:w="491" w:type="pct"/>
            <w:noWrap w:val="0"/>
            <w:vAlign w:val="center"/>
          </w:tcPr>
          <w:p w14:paraId="349394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黑体" w:hAnsi="黑体" w:eastAsia="黑体" w:cs="黑体"/>
                <w:b/>
                <w:bCs/>
                <w:color w:val="000000"/>
                <w:kern w:val="0"/>
                <w:sz w:val="21"/>
                <w:szCs w:val="21"/>
                <w:highlight w:val="none"/>
                <w:lang w:eastAsia="zh-CN"/>
              </w:rPr>
            </w:pPr>
            <w:r>
              <w:rPr>
                <w:rFonts w:hint="eastAsia" w:ascii="黑体" w:hAnsi="黑体" w:eastAsia="黑体" w:cs="黑体"/>
                <w:b/>
                <w:bCs/>
                <w:color w:val="000000"/>
                <w:kern w:val="0"/>
                <w:sz w:val="21"/>
                <w:szCs w:val="21"/>
                <w:highlight w:val="none"/>
                <w:lang w:eastAsia="zh-CN"/>
              </w:rPr>
              <w:t>自查情况</w:t>
            </w:r>
          </w:p>
        </w:tc>
        <w:tc>
          <w:tcPr>
            <w:tcW w:w="520" w:type="pct"/>
            <w:noWrap w:val="0"/>
            <w:vAlign w:val="center"/>
          </w:tcPr>
          <w:p w14:paraId="233273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黑体" w:hAnsi="黑体" w:eastAsia="黑体" w:cs="黑体"/>
                <w:b/>
                <w:bCs/>
                <w:color w:val="000000"/>
                <w:kern w:val="0"/>
                <w:sz w:val="21"/>
                <w:szCs w:val="21"/>
                <w:highlight w:val="none"/>
                <w:lang w:eastAsia="zh-CN"/>
              </w:rPr>
            </w:pPr>
            <w:r>
              <w:rPr>
                <w:rFonts w:hint="eastAsia" w:ascii="黑体" w:hAnsi="黑体" w:eastAsia="黑体" w:cs="黑体"/>
                <w:b/>
                <w:bCs/>
                <w:color w:val="000000"/>
                <w:kern w:val="0"/>
                <w:sz w:val="21"/>
                <w:szCs w:val="21"/>
                <w:highlight w:val="none"/>
                <w:lang w:eastAsia="zh-CN"/>
              </w:rPr>
              <w:t>备注</w:t>
            </w:r>
          </w:p>
        </w:tc>
      </w:tr>
      <w:tr w14:paraId="76C4D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restart"/>
            <w:noWrap w:val="0"/>
            <w:vAlign w:val="center"/>
          </w:tcPr>
          <w:p w14:paraId="55F1E05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rPr>
            </w:pPr>
            <w:r>
              <w:rPr>
                <w:rFonts w:hint="eastAsia" w:ascii="仿宋_GB2312" w:hAnsi="仿宋_GB2312" w:eastAsia="仿宋_GB2312" w:cs="仿宋_GB2312"/>
                <w:b/>
                <w:bCs/>
                <w:color w:val="000000"/>
                <w:kern w:val="0"/>
                <w:sz w:val="21"/>
                <w:szCs w:val="21"/>
                <w:highlight w:val="none"/>
                <w:lang w:val="en-US" w:eastAsia="zh-CN"/>
              </w:rPr>
              <w:t>1.药材采购与</w:t>
            </w:r>
          </w:p>
          <w:p w14:paraId="5D18766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rPr>
            </w:pPr>
            <w:r>
              <w:rPr>
                <w:rFonts w:hint="eastAsia" w:ascii="仿宋_GB2312" w:hAnsi="仿宋_GB2312" w:eastAsia="仿宋_GB2312" w:cs="仿宋_GB2312"/>
                <w:b/>
                <w:bCs/>
                <w:color w:val="000000"/>
                <w:kern w:val="0"/>
                <w:sz w:val="21"/>
                <w:szCs w:val="21"/>
                <w:highlight w:val="none"/>
                <w:lang w:val="en-US" w:eastAsia="zh-CN"/>
              </w:rPr>
              <w:t>存储管理</w:t>
            </w:r>
          </w:p>
        </w:tc>
        <w:tc>
          <w:tcPr>
            <w:tcW w:w="462" w:type="pct"/>
            <w:noWrap w:val="0"/>
            <w:vAlign w:val="center"/>
          </w:tcPr>
          <w:p w14:paraId="355E36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rPr>
            </w:pPr>
            <w:r>
              <w:rPr>
                <w:rFonts w:hint="eastAsia" w:ascii="仿宋_GB2312" w:hAnsi="仿宋_GB2312" w:eastAsia="仿宋_GB2312" w:cs="仿宋_GB2312"/>
                <w:b/>
                <w:bCs/>
                <w:color w:val="000000"/>
                <w:kern w:val="0"/>
                <w:sz w:val="21"/>
                <w:szCs w:val="21"/>
                <w:highlight w:val="none"/>
                <w:lang w:val="en-US" w:eastAsia="zh-CN"/>
              </w:rPr>
              <w:t>1.1*</w:t>
            </w:r>
          </w:p>
        </w:tc>
        <w:tc>
          <w:tcPr>
            <w:tcW w:w="2919" w:type="pct"/>
            <w:gridSpan w:val="2"/>
            <w:noWrap w:val="0"/>
            <w:vAlign w:val="center"/>
          </w:tcPr>
          <w:p w14:paraId="4F7826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是否建立药材采购管理制度，确保采购的药材来源合法、基原准确、质量可控。</w:t>
            </w:r>
          </w:p>
        </w:tc>
        <w:tc>
          <w:tcPr>
            <w:tcW w:w="491" w:type="pct"/>
            <w:shd w:val="clear" w:color="auto" w:fill="auto"/>
            <w:noWrap w:val="0"/>
            <w:vAlign w:val="center"/>
          </w:tcPr>
          <w:p w14:paraId="3C6CE2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 xml:space="preserve">□是 </w:t>
            </w:r>
            <w:r>
              <w:rPr>
                <w:rFonts w:hint="eastAsia" w:ascii="仿宋_GB2312" w:hAnsi="仿宋_GB2312" w:eastAsia="仿宋_GB2312" w:cs="仿宋_GB2312"/>
                <w:b/>
                <w:bCs/>
                <w:color w:val="000000"/>
                <w:kern w:val="0"/>
                <w:sz w:val="21"/>
                <w:szCs w:val="21"/>
                <w:highlight w:val="none"/>
                <w:lang w:eastAsia="zh-CN"/>
              </w:rPr>
              <w:sym w:font="Wingdings 2" w:char="00A3"/>
            </w:r>
            <w:r>
              <w:rPr>
                <w:rFonts w:hint="eastAsia" w:ascii="仿宋_GB2312" w:hAnsi="仿宋_GB2312" w:eastAsia="仿宋_GB2312" w:cs="仿宋_GB2312"/>
                <w:b/>
                <w:bCs/>
                <w:color w:val="000000"/>
                <w:kern w:val="0"/>
                <w:sz w:val="21"/>
                <w:szCs w:val="21"/>
                <w:highlight w:val="none"/>
                <w:lang w:eastAsia="zh-CN"/>
              </w:rPr>
              <w:t>否</w:t>
            </w:r>
          </w:p>
        </w:tc>
        <w:tc>
          <w:tcPr>
            <w:tcW w:w="520" w:type="pct"/>
            <w:noWrap w:val="0"/>
            <w:vAlign w:val="center"/>
          </w:tcPr>
          <w:p w14:paraId="75C3D1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39EAB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4040B6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rPr>
            </w:pPr>
          </w:p>
        </w:tc>
        <w:tc>
          <w:tcPr>
            <w:tcW w:w="462" w:type="pct"/>
            <w:noWrap w:val="0"/>
            <w:vAlign w:val="center"/>
          </w:tcPr>
          <w:p w14:paraId="3ACC64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rPr>
            </w:pPr>
            <w:r>
              <w:rPr>
                <w:rFonts w:hint="eastAsia" w:ascii="仿宋_GB2312" w:hAnsi="仿宋_GB2312" w:eastAsia="仿宋_GB2312" w:cs="仿宋_GB2312"/>
                <w:b/>
                <w:bCs/>
                <w:color w:val="000000"/>
                <w:kern w:val="0"/>
                <w:sz w:val="21"/>
                <w:szCs w:val="21"/>
                <w:highlight w:val="none"/>
                <w:lang w:val="en-US" w:eastAsia="zh-CN"/>
              </w:rPr>
              <w:t>1.2</w:t>
            </w:r>
          </w:p>
        </w:tc>
        <w:tc>
          <w:tcPr>
            <w:tcW w:w="2919" w:type="pct"/>
            <w:gridSpan w:val="2"/>
            <w:noWrap w:val="0"/>
            <w:vAlign w:val="center"/>
          </w:tcPr>
          <w:p w14:paraId="72D4DB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是否配备与收购规模相适应的药材暂存场所及仓储设施且符合相关要求。</w:t>
            </w:r>
          </w:p>
        </w:tc>
        <w:tc>
          <w:tcPr>
            <w:tcW w:w="491" w:type="pct"/>
            <w:shd w:val="clear" w:color="auto" w:fill="auto"/>
            <w:noWrap w:val="0"/>
            <w:vAlign w:val="center"/>
          </w:tcPr>
          <w:p w14:paraId="612282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2264C3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56F50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5E0726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rPr>
            </w:pPr>
          </w:p>
        </w:tc>
        <w:tc>
          <w:tcPr>
            <w:tcW w:w="462" w:type="pct"/>
            <w:noWrap w:val="0"/>
            <w:vAlign w:val="center"/>
          </w:tcPr>
          <w:p w14:paraId="7C1B23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rPr>
            </w:pPr>
            <w:r>
              <w:rPr>
                <w:rFonts w:hint="eastAsia" w:ascii="仿宋_GB2312" w:hAnsi="仿宋_GB2312" w:eastAsia="仿宋_GB2312" w:cs="仿宋_GB2312"/>
                <w:b/>
                <w:bCs/>
                <w:color w:val="000000"/>
                <w:kern w:val="0"/>
                <w:sz w:val="21"/>
                <w:szCs w:val="21"/>
                <w:highlight w:val="none"/>
                <w:lang w:val="en-US" w:eastAsia="zh-CN"/>
              </w:rPr>
              <w:t>1.3</w:t>
            </w:r>
          </w:p>
        </w:tc>
        <w:tc>
          <w:tcPr>
            <w:tcW w:w="2919" w:type="pct"/>
            <w:gridSpan w:val="2"/>
            <w:noWrap w:val="0"/>
            <w:vAlign w:val="center"/>
          </w:tcPr>
          <w:p w14:paraId="7CE882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药材验收、仓储条件、温度湿度等记录文件是否保存至鲜切药材销售后三年以上。</w:t>
            </w:r>
          </w:p>
        </w:tc>
        <w:tc>
          <w:tcPr>
            <w:tcW w:w="491" w:type="pct"/>
            <w:shd w:val="clear" w:color="auto" w:fill="auto"/>
            <w:noWrap w:val="0"/>
            <w:vAlign w:val="center"/>
          </w:tcPr>
          <w:p w14:paraId="796F1F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4287F6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60F37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restart"/>
            <w:noWrap w:val="0"/>
            <w:vAlign w:val="center"/>
          </w:tcPr>
          <w:p w14:paraId="52A87D6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rPr>
            </w:pPr>
            <w:r>
              <w:rPr>
                <w:rFonts w:hint="eastAsia" w:ascii="仿宋_GB2312" w:hAnsi="仿宋_GB2312" w:eastAsia="仿宋_GB2312" w:cs="仿宋_GB2312"/>
                <w:b/>
                <w:bCs/>
                <w:color w:val="000000"/>
                <w:kern w:val="0"/>
                <w:sz w:val="21"/>
                <w:szCs w:val="21"/>
                <w:highlight w:val="none"/>
                <w:lang w:val="en-US" w:eastAsia="zh-CN"/>
              </w:rPr>
              <w:t>2.</w:t>
            </w:r>
            <w:r>
              <w:rPr>
                <w:rFonts w:hint="eastAsia" w:ascii="仿宋_GB2312" w:hAnsi="仿宋_GB2312" w:eastAsia="仿宋_GB2312" w:cs="仿宋_GB2312"/>
                <w:b/>
                <w:bCs/>
                <w:color w:val="000000"/>
                <w:kern w:val="0"/>
                <w:sz w:val="21"/>
                <w:szCs w:val="21"/>
                <w:highlight w:val="none"/>
                <w:lang w:eastAsia="zh-CN"/>
              </w:rPr>
              <w:t>选址要求</w:t>
            </w:r>
          </w:p>
        </w:tc>
        <w:tc>
          <w:tcPr>
            <w:tcW w:w="462" w:type="pct"/>
            <w:shd w:val="clear" w:color="auto" w:fill="auto"/>
            <w:noWrap w:val="0"/>
            <w:vAlign w:val="center"/>
          </w:tcPr>
          <w:p w14:paraId="6B1A7A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rPr>
              <w:t>2.1</w:t>
            </w:r>
          </w:p>
        </w:tc>
        <w:tc>
          <w:tcPr>
            <w:tcW w:w="2919" w:type="pct"/>
            <w:gridSpan w:val="2"/>
            <w:shd w:val="clear" w:color="auto" w:fill="auto"/>
            <w:noWrap w:val="0"/>
            <w:vAlign w:val="center"/>
          </w:tcPr>
          <w:p w14:paraId="34A67E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是否设置在中药材种植规模较大且相对集中的区域。</w:t>
            </w:r>
          </w:p>
        </w:tc>
        <w:tc>
          <w:tcPr>
            <w:tcW w:w="491" w:type="pct"/>
            <w:shd w:val="clear" w:color="auto" w:fill="auto"/>
            <w:noWrap w:val="0"/>
            <w:vAlign w:val="center"/>
          </w:tcPr>
          <w:p w14:paraId="753466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 xml:space="preserve">□是 </w:t>
            </w:r>
            <w:r>
              <w:rPr>
                <w:rFonts w:hint="eastAsia" w:ascii="仿宋_GB2312" w:hAnsi="仿宋_GB2312" w:eastAsia="仿宋_GB2312" w:cs="仿宋_GB2312"/>
                <w:b/>
                <w:bCs/>
                <w:color w:val="000000"/>
                <w:kern w:val="0"/>
                <w:sz w:val="21"/>
                <w:szCs w:val="21"/>
                <w:highlight w:val="none"/>
                <w:lang w:eastAsia="zh-CN"/>
              </w:rPr>
              <w:sym w:font="Wingdings 2" w:char="00A3"/>
            </w:r>
            <w:r>
              <w:rPr>
                <w:rFonts w:hint="eastAsia" w:ascii="仿宋_GB2312" w:hAnsi="仿宋_GB2312" w:eastAsia="仿宋_GB2312" w:cs="仿宋_GB2312"/>
                <w:b/>
                <w:bCs/>
                <w:color w:val="000000"/>
                <w:kern w:val="0"/>
                <w:sz w:val="21"/>
                <w:szCs w:val="21"/>
                <w:highlight w:val="none"/>
                <w:lang w:eastAsia="zh-CN"/>
              </w:rPr>
              <w:t>否</w:t>
            </w:r>
          </w:p>
        </w:tc>
        <w:tc>
          <w:tcPr>
            <w:tcW w:w="520" w:type="pct"/>
            <w:shd w:val="clear" w:color="auto" w:fill="auto"/>
            <w:noWrap w:val="0"/>
            <w:vAlign w:val="center"/>
          </w:tcPr>
          <w:p w14:paraId="206BD2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p>
        </w:tc>
      </w:tr>
      <w:tr w14:paraId="6B43C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11054F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c>
          <w:tcPr>
            <w:tcW w:w="462" w:type="pct"/>
            <w:noWrap w:val="0"/>
            <w:vAlign w:val="center"/>
          </w:tcPr>
          <w:p w14:paraId="39704E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val="en-US" w:eastAsia="zh-CN"/>
              </w:rPr>
              <w:t>2.2</w:t>
            </w:r>
          </w:p>
        </w:tc>
        <w:tc>
          <w:tcPr>
            <w:tcW w:w="2919" w:type="pct"/>
            <w:gridSpan w:val="2"/>
            <w:noWrap w:val="0"/>
            <w:vAlign w:val="center"/>
          </w:tcPr>
          <w:p w14:paraId="1F7D4E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是否满足环保及安全生产相关要求。</w:t>
            </w:r>
          </w:p>
        </w:tc>
        <w:tc>
          <w:tcPr>
            <w:tcW w:w="491" w:type="pct"/>
            <w:noWrap w:val="0"/>
            <w:vAlign w:val="center"/>
          </w:tcPr>
          <w:p w14:paraId="770AE3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5D4728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68CF4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2FF120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c>
          <w:tcPr>
            <w:tcW w:w="462" w:type="pct"/>
            <w:noWrap w:val="0"/>
            <w:vAlign w:val="center"/>
          </w:tcPr>
          <w:p w14:paraId="2AF1A1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rPr>
            </w:pPr>
            <w:r>
              <w:rPr>
                <w:rFonts w:hint="eastAsia" w:ascii="仿宋_GB2312" w:hAnsi="仿宋_GB2312" w:eastAsia="仿宋_GB2312" w:cs="仿宋_GB2312"/>
                <w:b/>
                <w:bCs/>
                <w:color w:val="000000"/>
                <w:kern w:val="0"/>
                <w:sz w:val="21"/>
                <w:szCs w:val="21"/>
                <w:highlight w:val="none"/>
                <w:lang w:val="en-US" w:eastAsia="zh-CN"/>
              </w:rPr>
              <w:t>2.3</w:t>
            </w:r>
          </w:p>
        </w:tc>
        <w:tc>
          <w:tcPr>
            <w:tcW w:w="2919" w:type="pct"/>
            <w:gridSpan w:val="2"/>
            <w:noWrap w:val="0"/>
            <w:vAlign w:val="center"/>
          </w:tcPr>
          <w:p w14:paraId="56934A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是否远离污染源，交通便利。</w:t>
            </w:r>
          </w:p>
        </w:tc>
        <w:tc>
          <w:tcPr>
            <w:tcW w:w="491" w:type="pct"/>
            <w:noWrap w:val="0"/>
            <w:vAlign w:val="center"/>
          </w:tcPr>
          <w:p w14:paraId="5F471C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444DC3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6AEA3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restart"/>
            <w:noWrap w:val="0"/>
            <w:vAlign w:val="center"/>
          </w:tcPr>
          <w:p w14:paraId="6254F60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val="en-US" w:eastAsia="zh-CN"/>
              </w:rPr>
              <w:t>3.</w:t>
            </w:r>
            <w:r>
              <w:rPr>
                <w:rFonts w:hint="eastAsia" w:ascii="仿宋_GB2312" w:hAnsi="仿宋_GB2312" w:eastAsia="仿宋_GB2312" w:cs="仿宋_GB2312"/>
                <w:b/>
                <w:bCs/>
                <w:color w:val="000000"/>
                <w:kern w:val="0"/>
                <w:sz w:val="21"/>
                <w:szCs w:val="21"/>
                <w:highlight w:val="none"/>
                <w:lang w:eastAsia="zh-CN"/>
              </w:rPr>
              <w:t>设施要求</w:t>
            </w:r>
          </w:p>
        </w:tc>
        <w:tc>
          <w:tcPr>
            <w:tcW w:w="462" w:type="pct"/>
            <w:noWrap w:val="0"/>
            <w:vAlign w:val="center"/>
          </w:tcPr>
          <w:p w14:paraId="7049DD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rPr>
            </w:pPr>
            <w:r>
              <w:rPr>
                <w:rFonts w:hint="eastAsia" w:ascii="仿宋_GB2312" w:hAnsi="仿宋_GB2312" w:eastAsia="仿宋_GB2312" w:cs="仿宋_GB2312"/>
                <w:b/>
                <w:bCs/>
                <w:color w:val="000000"/>
                <w:kern w:val="0"/>
                <w:sz w:val="21"/>
                <w:szCs w:val="21"/>
                <w:highlight w:val="none"/>
                <w:lang w:val="en-US" w:eastAsia="zh-CN"/>
              </w:rPr>
              <w:t>3.1</w:t>
            </w:r>
          </w:p>
        </w:tc>
        <w:tc>
          <w:tcPr>
            <w:tcW w:w="2919" w:type="pct"/>
            <w:gridSpan w:val="2"/>
            <w:noWrap w:val="0"/>
            <w:vAlign w:val="center"/>
          </w:tcPr>
          <w:p w14:paraId="2E58DE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加工场地、车间与设施设备是否合理布局，是否满足趁鲜加工的清洗、分拣、前端预处理（蒸、煮、发汗等）、切制、干燥、包装、仓储、留样等需求。</w:t>
            </w:r>
          </w:p>
        </w:tc>
        <w:tc>
          <w:tcPr>
            <w:tcW w:w="491" w:type="pct"/>
            <w:noWrap w:val="0"/>
            <w:vAlign w:val="center"/>
          </w:tcPr>
          <w:p w14:paraId="0983F7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63FFB7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4E820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4B8E9A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c>
          <w:tcPr>
            <w:tcW w:w="462" w:type="pct"/>
            <w:noWrap w:val="0"/>
            <w:vAlign w:val="center"/>
          </w:tcPr>
          <w:p w14:paraId="43C09F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val="en-US" w:eastAsia="zh-CN"/>
              </w:rPr>
              <w:t>3.2</w:t>
            </w:r>
          </w:p>
        </w:tc>
        <w:tc>
          <w:tcPr>
            <w:tcW w:w="2919" w:type="pct"/>
            <w:gridSpan w:val="2"/>
            <w:noWrap w:val="0"/>
            <w:vAlign w:val="center"/>
          </w:tcPr>
          <w:p w14:paraId="6A67AE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切制、干燥、净制、包装车间的地面、墙壁、天棚等内表面是否易于清洁，是否不易产生脱落物，是否不易滋生霉菌。</w:t>
            </w:r>
          </w:p>
        </w:tc>
        <w:tc>
          <w:tcPr>
            <w:tcW w:w="491" w:type="pct"/>
            <w:noWrap w:val="0"/>
            <w:vAlign w:val="center"/>
          </w:tcPr>
          <w:p w14:paraId="49F679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73C828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0EF20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43996E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c>
          <w:tcPr>
            <w:tcW w:w="462" w:type="pct"/>
            <w:noWrap w:val="0"/>
            <w:vAlign w:val="center"/>
          </w:tcPr>
          <w:p w14:paraId="19496D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val="en-US" w:eastAsia="zh-CN"/>
              </w:rPr>
              <w:t>3.3</w:t>
            </w:r>
          </w:p>
        </w:tc>
        <w:tc>
          <w:tcPr>
            <w:tcW w:w="2919" w:type="pct"/>
            <w:gridSpan w:val="2"/>
            <w:noWrap w:val="0"/>
            <w:vAlign w:val="center"/>
          </w:tcPr>
          <w:p w14:paraId="679735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是否有防止昆虫或其他动物等进入的设施。</w:t>
            </w:r>
          </w:p>
        </w:tc>
        <w:tc>
          <w:tcPr>
            <w:tcW w:w="491" w:type="pct"/>
            <w:noWrap w:val="0"/>
            <w:vAlign w:val="center"/>
          </w:tcPr>
          <w:p w14:paraId="7AF57A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6BA77D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7C0CF6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restart"/>
            <w:noWrap w:val="0"/>
            <w:vAlign w:val="center"/>
          </w:tcPr>
          <w:p w14:paraId="085148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val="en-US" w:eastAsia="zh-CN"/>
              </w:rPr>
              <w:t>4.</w:t>
            </w:r>
            <w:r>
              <w:rPr>
                <w:rFonts w:hint="eastAsia" w:ascii="仿宋_GB2312" w:hAnsi="仿宋_GB2312" w:eastAsia="仿宋_GB2312" w:cs="仿宋_GB2312"/>
                <w:b/>
                <w:bCs/>
                <w:color w:val="000000"/>
                <w:kern w:val="0"/>
                <w:sz w:val="21"/>
                <w:szCs w:val="21"/>
                <w:highlight w:val="none"/>
                <w:lang w:eastAsia="zh-CN"/>
              </w:rPr>
              <w:t>设备要求</w:t>
            </w:r>
          </w:p>
        </w:tc>
        <w:tc>
          <w:tcPr>
            <w:tcW w:w="462" w:type="pct"/>
            <w:noWrap w:val="0"/>
            <w:vAlign w:val="center"/>
          </w:tcPr>
          <w:p w14:paraId="79D64F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rPr>
            </w:pPr>
            <w:r>
              <w:rPr>
                <w:rFonts w:hint="eastAsia" w:ascii="仿宋_GB2312" w:hAnsi="仿宋_GB2312" w:eastAsia="仿宋_GB2312" w:cs="仿宋_GB2312"/>
                <w:b/>
                <w:bCs/>
                <w:color w:val="000000"/>
                <w:kern w:val="0"/>
                <w:sz w:val="21"/>
                <w:szCs w:val="21"/>
                <w:highlight w:val="none"/>
                <w:lang w:val="en-US" w:eastAsia="zh-CN"/>
              </w:rPr>
              <w:t>4.1</w:t>
            </w:r>
          </w:p>
        </w:tc>
        <w:tc>
          <w:tcPr>
            <w:tcW w:w="2919" w:type="pct"/>
            <w:gridSpan w:val="2"/>
            <w:noWrap w:val="0"/>
            <w:vAlign w:val="center"/>
          </w:tcPr>
          <w:p w14:paraId="7740D6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是否有能满足加工工艺要求的设备与工具。</w:t>
            </w:r>
          </w:p>
        </w:tc>
        <w:tc>
          <w:tcPr>
            <w:tcW w:w="491" w:type="pct"/>
            <w:noWrap w:val="0"/>
            <w:vAlign w:val="center"/>
          </w:tcPr>
          <w:p w14:paraId="4D6E46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0CD4B7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314EE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65" w:hRule="atLeast"/>
          <w:jc w:val="center"/>
        </w:trPr>
        <w:tc>
          <w:tcPr>
            <w:tcW w:w="605" w:type="pct"/>
            <w:vMerge w:val="continue"/>
            <w:noWrap w:val="0"/>
            <w:vAlign w:val="center"/>
          </w:tcPr>
          <w:p w14:paraId="55254E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c>
          <w:tcPr>
            <w:tcW w:w="462" w:type="pct"/>
            <w:noWrap w:val="0"/>
            <w:vAlign w:val="center"/>
          </w:tcPr>
          <w:p w14:paraId="1CB4D4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rPr>
            </w:pPr>
            <w:r>
              <w:rPr>
                <w:rFonts w:hint="eastAsia" w:ascii="仿宋_GB2312" w:hAnsi="仿宋_GB2312" w:eastAsia="仿宋_GB2312" w:cs="仿宋_GB2312"/>
                <w:b/>
                <w:bCs/>
                <w:color w:val="000000"/>
                <w:kern w:val="0"/>
                <w:sz w:val="21"/>
                <w:szCs w:val="21"/>
                <w:highlight w:val="none"/>
                <w:lang w:val="en-US" w:eastAsia="zh-CN"/>
              </w:rPr>
              <w:t>4.2</w:t>
            </w:r>
          </w:p>
        </w:tc>
        <w:tc>
          <w:tcPr>
            <w:tcW w:w="2919" w:type="pct"/>
            <w:gridSpan w:val="2"/>
            <w:noWrap w:val="0"/>
            <w:vAlign w:val="center"/>
          </w:tcPr>
          <w:p w14:paraId="614F50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与鲜切药材直接接触的设备、工具、容器是否易清洁消毒，不易产生脱落物，不对鲜切药材质量产生不良影响。</w:t>
            </w:r>
          </w:p>
        </w:tc>
        <w:tc>
          <w:tcPr>
            <w:tcW w:w="491" w:type="pct"/>
            <w:noWrap w:val="0"/>
            <w:vAlign w:val="center"/>
          </w:tcPr>
          <w:p w14:paraId="48546C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58232B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10A41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90" w:hRule="atLeast"/>
          <w:jc w:val="center"/>
        </w:trPr>
        <w:tc>
          <w:tcPr>
            <w:tcW w:w="605" w:type="pct"/>
            <w:vMerge w:val="restart"/>
            <w:noWrap w:val="0"/>
            <w:vAlign w:val="center"/>
          </w:tcPr>
          <w:p w14:paraId="39D152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val="en-US" w:eastAsia="zh-CN"/>
              </w:rPr>
              <w:t>5.</w:t>
            </w:r>
            <w:r>
              <w:rPr>
                <w:rFonts w:hint="eastAsia" w:ascii="仿宋_GB2312" w:hAnsi="仿宋_GB2312" w:eastAsia="仿宋_GB2312" w:cs="仿宋_GB2312"/>
                <w:b/>
                <w:bCs/>
                <w:color w:val="000000"/>
                <w:kern w:val="0"/>
                <w:sz w:val="21"/>
                <w:szCs w:val="21"/>
                <w:highlight w:val="none"/>
                <w:lang w:eastAsia="zh-CN"/>
              </w:rPr>
              <w:t>人员要求</w:t>
            </w:r>
          </w:p>
        </w:tc>
        <w:tc>
          <w:tcPr>
            <w:tcW w:w="462" w:type="pct"/>
            <w:noWrap w:val="0"/>
            <w:vAlign w:val="center"/>
          </w:tcPr>
          <w:p w14:paraId="4337E2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rPr>
            </w:pPr>
            <w:r>
              <w:rPr>
                <w:rFonts w:hint="eastAsia" w:ascii="仿宋_GB2312" w:hAnsi="仿宋_GB2312" w:eastAsia="仿宋_GB2312" w:cs="仿宋_GB2312"/>
                <w:b/>
                <w:bCs/>
                <w:color w:val="000000"/>
                <w:kern w:val="0"/>
                <w:sz w:val="21"/>
                <w:szCs w:val="21"/>
                <w:highlight w:val="none"/>
                <w:lang w:val="en-US" w:eastAsia="zh-CN"/>
              </w:rPr>
              <w:t>5.1*</w:t>
            </w:r>
          </w:p>
        </w:tc>
        <w:tc>
          <w:tcPr>
            <w:tcW w:w="2919" w:type="pct"/>
            <w:gridSpan w:val="2"/>
            <w:noWrap w:val="0"/>
            <w:vAlign w:val="center"/>
          </w:tcPr>
          <w:p w14:paraId="02FFD2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是否配备足够数量并具有和岗位职责相应资质或技能的生产和质量管理人员。</w:t>
            </w:r>
          </w:p>
        </w:tc>
        <w:tc>
          <w:tcPr>
            <w:tcW w:w="491" w:type="pct"/>
            <w:noWrap w:val="0"/>
            <w:vAlign w:val="center"/>
          </w:tcPr>
          <w:p w14:paraId="34115A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797911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3F042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3EFF32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c>
          <w:tcPr>
            <w:tcW w:w="462" w:type="pct"/>
            <w:noWrap w:val="0"/>
            <w:vAlign w:val="center"/>
          </w:tcPr>
          <w:p w14:paraId="7263FC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val="en-US" w:eastAsia="zh-CN"/>
              </w:rPr>
              <w:t>5.2*</w:t>
            </w:r>
          </w:p>
        </w:tc>
        <w:tc>
          <w:tcPr>
            <w:tcW w:w="2919" w:type="pct"/>
            <w:gridSpan w:val="2"/>
            <w:noWrap w:val="0"/>
            <w:vAlign w:val="center"/>
          </w:tcPr>
          <w:p w14:paraId="16874F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生产或质量负责人</w:t>
            </w:r>
            <w:r>
              <w:rPr>
                <w:rFonts w:hint="eastAsia" w:ascii="仿宋_GB2312" w:hAnsi="仿宋_GB2312" w:eastAsia="仿宋_GB2312" w:cs="仿宋_GB2312"/>
                <w:b/>
                <w:bCs/>
                <w:color w:val="000000"/>
                <w:kern w:val="0"/>
                <w:sz w:val="21"/>
                <w:szCs w:val="21"/>
                <w:highlight w:val="none"/>
                <w:lang w:val="en-US" w:eastAsia="zh-CN"/>
              </w:rPr>
              <w:t>是否</w:t>
            </w:r>
            <w:r>
              <w:rPr>
                <w:rFonts w:hint="eastAsia" w:ascii="仿宋_GB2312" w:hAnsi="仿宋_GB2312" w:eastAsia="仿宋_GB2312" w:cs="仿宋_GB2312"/>
                <w:b/>
                <w:bCs/>
                <w:color w:val="000000"/>
                <w:kern w:val="0"/>
                <w:sz w:val="21"/>
                <w:szCs w:val="21"/>
                <w:highlight w:val="none"/>
                <w:lang w:eastAsia="zh-CN"/>
              </w:rPr>
              <w:t>具备中药材真伪鉴别能力、中药材加工经验及相关法律法规知识，并定期培训。</w:t>
            </w:r>
          </w:p>
        </w:tc>
        <w:tc>
          <w:tcPr>
            <w:tcW w:w="491" w:type="pct"/>
            <w:noWrap w:val="0"/>
            <w:vAlign w:val="center"/>
          </w:tcPr>
          <w:p w14:paraId="1ADA87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554374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37CFA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3C437E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c>
          <w:tcPr>
            <w:tcW w:w="462" w:type="pct"/>
            <w:noWrap w:val="0"/>
            <w:vAlign w:val="center"/>
          </w:tcPr>
          <w:p w14:paraId="4D362C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val="en-US" w:eastAsia="zh-CN"/>
              </w:rPr>
              <w:t>5.3</w:t>
            </w:r>
          </w:p>
        </w:tc>
        <w:tc>
          <w:tcPr>
            <w:tcW w:w="2919" w:type="pct"/>
            <w:gridSpan w:val="2"/>
            <w:noWrap w:val="0"/>
            <w:vAlign w:val="center"/>
          </w:tcPr>
          <w:p w14:paraId="1B48C2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切制、包装加工场地或车间人员应每年定期体检，具有健康证明；</w:t>
            </w:r>
          </w:p>
        </w:tc>
        <w:tc>
          <w:tcPr>
            <w:tcW w:w="491" w:type="pct"/>
            <w:noWrap w:val="0"/>
            <w:vAlign w:val="center"/>
          </w:tcPr>
          <w:p w14:paraId="030821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74274E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04628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restart"/>
            <w:noWrap w:val="0"/>
            <w:vAlign w:val="center"/>
          </w:tcPr>
          <w:p w14:paraId="13EB0B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rPr>
              <w:t>6.</w:t>
            </w:r>
            <w:r>
              <w:rPr>
                <w:rFonts w:hint="eastAsia" w:ascii="仿宋_GB2312" w:hAnsi="仿宋_GB2312" w:eastAsia="仿宋_GB2312" w:cs="仿宋_GB2312"/>
                <w:b/>
                <w:bCs/>
                <w:color w:val="000000"/>
                <w:kern w:val="0"/>
                <w:sz w:val="21"/>
                <w:szCs w:val="21"/>
                <w:highlight w:val="none"/>
                <w:lang w:eastAsia="zh-CN"/>
              </w:rPr>
              <w:t>产地加工管理</w:t>
            </w:r>
          </w:p>
        </w:tc>
        <w:tc>
          <w:tcPr>
            <w:tcW w:w="462" w:type="pct"/>
            <w:noWrap w:val="0"/>
            <w:vAlign w:val="center"/>
          </w:tcPr>
          <w:p w14:paraId="7800CB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rPr>
              <w:t>6.1</w:t>
            </w:r>
          </w:p>
        </w:tc>
        <w:tc>
          <w:tcPr>
            <w:tcW w:w="2919" w:type="pct"/>
            <w:gridSpan w:val="2"/>
            <w:noWrap w:val="0"/>
            <w:vAlign w:val="center"/>
          </w:tcPr>
          <w:p w14:paraId="65F780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进入切制、干燥、净制、包装车间的人员是否进行更衣、洗手。</w:t>
            </w:r>
          </w:p>
        </w:tc>
        <w:tc>
          <w:tcPr>
            <w:tcW w:w="491" w:type="pct"/>
            <w:noWrap w:val="0"/>
            <w:vAlign w:val="center"/>
          </w:tcPr>
          <w:p w14:paraId="0606FC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 xml:space="preserve">□是 </w:t>
            </w:r>
            <w:r>
              <w:rPr>
                <w:rFonts w:hint="eastAsia" w:ascii="仿宋_GB2312" w:hAnsi="仿宋_GB2312" w:eastAsia="仿宋_GB2312" w:cs="仿宋_GB2312"/>
                <w:b/>
                <w:bCs/>
                <w:color w:val="000000"/>
                <w:kern w:val="0"/>
                <w:sz w:val="21"/>
                <w:szCs w:val="21"/>
                <w:highlight w:val="none"/>
                <w:lang w:eastAsia="zh-CN"/>
              </w:rPr>
              <w:sym w:font="Wingdings 2" w:char="00A3"/>
            </w:r>
            <w:r>
              <w:rPr>
                <w:rFonts w:hint="eastAsia" w:ascii="仿宋_GB2312" w:hAnsi="仿宋_GB2312" w:eastAsia="仿宋_GB2312" w:cs="仿宋_GB2312"/>
                <w:b/>
                <w:bCs/>
                <w:color w:val="000000"/>
                <w:kern w:val="0"/>
                <w:sz w:val="21"/>
                <w:szCs w:val="21"/>
                <w:highlight w:val="none"/>
                <w:lang w:eastAsia="zh-CN"/>
              </w:rPr>
              <w:t>否</w:t>
            </w:r>
          </w:p>
        </w:tc>
        <w:tc>
          <w:tcPr>
            <w:tcW w:w="520" w:type="pct"/>
            <w:noWrap w:val="0"/>
            <w:vAlign w:val="center"/>
          </w:tcPr>
          <w:p w14:paraId="767506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2224E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08C1AC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p>
        </w:tc>
        <w:tc>
          <w:tcPr>
            <w:tcW w:w="462" w:type="pct"/>
            <w:noWrap w:val="0"/>
            <w:vAlign w:val="center"/>
          </w:tcPr>
          <w:p w14:paraId="0A75FE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rPr>
              <w:t>6</w:t>
            </w:r>
            <w:r>
              <w:rPr>
                <w:rFonts w:hint="eastAsia" w:ascii="仿宋_GB2312" w:hAnsi="仿宋_GB2312" w:eastAsia="仿宋_GB2312" w:cs="仿宋_GB2312"/>
                <w:b/>
                <w:bCs/>
                <w:color w:val="000000"/>
                <w:kern w:val="0"/>
                <w:sz w:val="21"/>
                <w:szCs w:val="21"/>
                <w:highlight w:val="none"/>
                <w:lang w:eastAsia="zh-CN"/>
              </w:rPr>
              <w:t>.</w:t>
            </w:r>
            <w:r>
              <w:rPr>
                <w:rFonts w:hint="eastAsia" w:ascii="仿宋_GB2312" w:hAnsi="仿宋_GB2312" w:eastAsia="仿宋_GB2312" w:cs="仿宋_GB2312"/>
                <w:b/>
                <w:bCs/>
                <w:color w:val="000000"/>
                <w:kern w:val="0"/>
                <w:sz w:val="21"/>
                <w:szCs w:val="21"/>
                <w:highlight w:val="none"/>
                <w:lang w:val="en-US" w:eastAsia="zh-CN"/>
              </w:rPr>
              <w:t>2</w:t>
            </w:r>
          </w:p>
        </w:tc>
        <w:tc>
          <w:tcPr>
            <w:tcW w:w="2919" w:type="pct"/>
            <w:gridSpan w:val="2"/>
            <w:noWrap w:val="0"/>
            <w:vAlign w:val="center"/>
          </w:tcPr>
          <w:p w14:paraId="05AF22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清洗后的鲜切药材是否尽早干燥，干燥过程是否采取有效地防虫、防雨等防污染措施。</w:t>
            </w:r>
          </w:p>
        </w:tc>
        <w:tc>
          <w:tcPr>
            <w:tcW w:w="491" w:type="pct"/>
            <w:noWrap w:val="0"/>
            <w:vAlign w:val="center"/>
          </w:tcPr>
          <w:p w14:paraId="1016EF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2BA9B3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056B3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250D65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p>
        </w:tc>
        <w:tc>
          <w:tcPr>
            <w:tcW w:w="462" w:type="pct"/>
            <w:noWrap w:val="0"/>
            <w:vAlign w:val="center"/>
          </w:tcPr>
          <w:p w14:paraId="73FDED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rPr>
              <w:t>6.3</w:t>
            </w:r>
          </w:p>
        </w:tc>
        <w:tc>
          <w:tcPr>
            <w:tcW w:w="2919" w:type="pct"/>
            <w:gridSpan w:val="2"/>
            <w:noWrap w:val="0"/>
            <w:vAlign w:val="center"/>
          </w:tcPr>
          <w:p w14:paraId="68607C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是否使用符合饮用水要求的水清洗药材。</w:t>
            </w:r>
          </w:p>
        </w:tc>
        <w:tc>
          <w:tcPr>
            <w:tcW w:w="491" w:type="pct"/>
            <w:noWrap w:val="0"/>
            <w:vAlign w:val="center"/>
          </w:tcPr>
          <w:p w14:paraId="6E0C5F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440513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7EB2E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7587A4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p>
        </w:tc>
        <w:tc>
          <w:tcPr>
            <w:tcW w:w="462" w:type="pct"/>
            <w:noWrap w:val="0"/>
            <w:vAlign w:val="center"/>
          </w:tcPr>
          <w:p w14:paraId="19D8EB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rPr>
            </w:pPr>
            <w:r>
              <w:rPr>
                <w:rFonts w:hint="eastAsia" w:ascii="仿宋_GB2312" w:hAnsi="仿宋_GB2312" w:eastAsia="仿宋_GB2312" w:cs="仿宋_GB2312"/>
                <w:b/>
                <w:bCs/>
                <w:color w:val="000000"/>
                <w:kern w:val="0"/>
                <w:sz w:val="21"/>
                <w:szCs w:val="21"/>
                <w:highlight w:val="none"/>
                <w:lang w:val="en-US" w:eastAsia="zh-CN"/>
              </w:rPr>
              <w:t>6.4</w:t>
            </w:r>
          </w:p>
        </w:tc>
        <w:tc>
          <w:tcPr>
            <w:tcW w:w="2919" w:type="pct"/>
            <w:gridSpan w:val="2"/>
            <w:noWrap w:val="0"/>
            <w:vAlign w:val="center"/>
          </w:tcPr>
          <w:p w14:paraId="23DAAE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不同品种的药材不得同时在同一容器中清洗，更换品种是否彻底清洁、清洗容器。</w:t>
            </w:r>
          </w:p>
        </w:tc>
        <w:tc>
          <w:tcPr>
            <w:tcW w:w="491" w:type="pct"/>
            <w:noWrap w:val="0"/>
            <w:vAlign w:val="center"/>
          </w:tcPr>
          <w:p w14:paraId="3BD6C2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56C39B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11E70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3B160E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p>
        </w:tc>
        <w:tc>
          <w:tcPr>
            <w:tcW w:w="462" w:type="pct"/>
            <w:noWrap w:val="0"/>
            <w:vAlign w:val="center"/>
          </w:tcPr>
          <w:p w14:paraId="0CEB95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rPr>
              <w:t>6.5*</w:t>
            </w:r>
          </w:p>
        </w:tc>
        <w:tc>
          <w:tcPr>
            <w:tcW w:w="2919" w:type="pct"/>
            <w:gridSpan w:val="2"/>
            <w:noWrap w:val="0"/>
            <w:vAlign w:val="center"/>
          </w:tcPr>
          <w:p w14:paraId="4101FD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在同一操作间内同时进行不同品种、规格的中药饮片加工操作是否有防止交叉污染的隔离措施。</w:t>
            </w:r>
          </w:p>
        </w:tc>
        <w:tc>
          <w:tcPr>
            <w:tcW w:w="491" w:type="pct"/>
            <w:noWrap w:val="0"/>
            <w:vAlign w:val="center"/>
          </w:tcPr>
          <w:p w14:paraId="5409D0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7E36D8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09088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56C922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p>
        </w:tc>
        <w:tc>
          <w:tcPr>
            <w:tcW w:w="462" w:type="pct"/>
            <w:noWrap w:val="0"/>
            <w:vAlign w:val="center"/>
          </w:tcPr>
          <w:p w14:paraId="0D5BFB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rPr>
              <w:t>6.6</w:t>
            </w:r>
          </w:p>
        </w:tc>
        <w:tc>
          <w:tcPr>
            <w:tcW w:w="2919" w:type="pct"/>
            <w:gridSpan w:val="2"/>
            <w:noWrap w:val="0"/>
            <w:vAlign w:val="center"/>
          </w:tcPr>
          <w:p w14:paraId="1035C2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是否在规定时限内完成趁鲜切制加工，保鲜剂和防腐剂的使用是否符合国家相关规定。</w:t>
            </w:r>
          </w:p>
        </w:tc>
        <w:tc>
          <w:tcPr>
            <w:tcW w:w="491" w:type="pct"/>
            <w:noWrap w:val="0"/>
            <w:vAlign w:val="center"/>
          </w:tcPr>
          <w:p w14:paraId="66700B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024D06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482E0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299C44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p>
        </w:tc>
        <w:tc>
          <w:tcPr>
            <w:tcW w:w="462" w:type="pct"/>
            <w:noWrap w:val="0"/>
            <w:vAlign w:val="center"/>
          </w:tcPr>
          <w:p w14:paraId="3DECF9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rPr>
              <w:t>6.7</w:t>
            </w:r>
          </w:p>
        </w:tc>
        <w:tc>
          <w:tcPr>
            <w:tcW w:w="2919" w:type="pct"/>
            <w:gridSpan w:val="2"/>
            <w:noWrap w:val="0"/>
            <w:vAlign w:val="center"/>
          </w:tcPr>
          <w:p w14:paraId="5C280D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生产过程是否存在染色、增重、漂白、掺杂使假等情况</w:t>
            </w:r>
          </w:p>
        </w:tc>
        <w:tc>
          <w:tcPr>
            <w:tcW w:w="491" w:type="pct"/>
            <w:noWrap w:val="0"/>
            <w:vAlign w:val="center"/>
          </w:tcPr>
          <w:p w14:paraId="47B5F4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221ADB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5B7FD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restart"/>
            <w:shd w:val="clear" w:color="auto" w:fill="auto"/>
            <w:noWrap w:val="0"/>
            <w:vAlign w:val="center"/>
          </w:tcPr>
          <w:p w14:paraId="069840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rPr>
              <w:t>7.</w:t>
            </w:r>
            <w:r>
              <w:rPr>
                <w:rFonts w:hint="eastAsia" w:ascii="仿宋_GB2312" w:hAnsi="仿宋_GB2312" w:eastAsia="仿宋_GB2312" w:cs="仿宋_GB2312"/>
                <w:b/>
                <w:bCs/>
                <w:color w:val="000000"/>
                <w:kern w:val="0"/>
                <w:sz w:val="21"/>
                <w:szCs w:val="21"/>
                <w:highlight w:val="none"/>
                <w:lang w:eastAsia="zh-CN"/>
              </w:rPr>
              <w:t>包装与运输要求</w:t>
            </w:r>
          </w:p>
        </w:tc>
        <w:tc>
          <w:tcPr>
            <w:tcW w:w="462" w:type="pct"/>
            <w:shd w:val="clear" w:color="auto" w:fill="auto"/>
            <w:noWrap w:val="0"/>
            <w:vAlign w:val="center"/>
          </w:tcPr>
          <w:p w14:paraId="2F7210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rPr>
              <w:t>7.1</w:t>
            </w:r>
          </w:p>
        </w:tc>
        <w:tc>
          <w:tcPr>
            <w:tcW w:w="2919" w:type="pct"/>
            <w:gridSpan w:val="2"/>
            <w:shd w:val="clear" w:color="auto" w:fill="auto"/>
            <w:noWrap w:val="0"/>
            <w:vAlign w:val="center"/>
          </w:tcPr>
          <w:p w14:paraId="55AF79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包装材料</w:t>
            </w:r>
            <w:r>
              <w:rPr>
                <w:rFonts w:hint="eastAsia" w:ascii="仿宋_GB2312" w:hAnsi="仿宋_GB2312" w:eastAsia="仿宋_GB2312" w:cs="仿宋_GB2312"/>
                <w:b/>
                <w:bCs/>
                <w:color w:val="000000"/>
                <w:kern w:val="0"/>
                <w:sz w:val="21"/>
                <w:szCs w:val="21"/>
                <w:highlight w:val="none"/>
                <w:lang w:val="en-US" w:eastAsia="zh-CN"/>
              </w:rPr>
              <w:t>是否</w:t>
            </w:r>
            <w:r>
              <w:rPr>
                <w:rFonts w:hint="eastAsia" w:ascii="仿宋_GB2312" w:hAnsi="仿宋_GB2312" w:eastAsia="仿宋_GB2312" w:cs="仿宋_GB2312"/>
                <w:b/>
                <w:bCs/>
                <w:color w:val="000000"/>
                <w:kern w:val="0"/>
                <w:sz w:val="21"/>
                <w:szCs w:val="21"/>
                <w:highlight w:val="none"/>
                <w:lang w:eastAsia="zh-CN"/>
              </w:rPr>
              <w:t>清洁干燥、无污染、无破损；直接接触鲜切药材的包装材料</w:t>
            </w:r>
            <w:r>
              <w:rPr>
                <w:rFonts w:hint="eastAsia" w:ascii="仿宋_GB2312" w:hAnsi="仿宋_GB2312" w:eastAsia="仿宋_GB2312" w:cs="仿宋_GB2312"/>
                <w:b/>
                <w:bCs/>
                <w:color w:val="000000"/>
                <w:kern w:val="0"/>
                <w:sz w:val="21"/>
                <w:szCs w:val="21"/>
                <w:highlight w:val="none"/>
                <w:lang w:val="en-US" w:eastAsia="zh-CN"/>
              </w:rPr>
              <w:t>是否</w:t>
            </w:r>
            <w:r>
              <w:rPr>
                <w:rFonts w:hint="eastAsia" w:ascii="仿宋_GB2312" w:hAnsi="仿宋_GB2312" w:eastAsia="仿宋_GB2312" w:cs="仿宋_GB2312"/>
                <w:b/>
                <w:bCs/>
                <w:color w:val="000000"/>
                <w:kern w:val="0"/>
                <w:sz w:val="21"/>
                <w:szCs w:val="21"/>
                <w:highlight w:val="none"/>
                <w:lang w:eastAsia="zh-CN"/>
              </w:rPr>
              <w:t>符合食品包装材料标准。</w:t>
            </w:r>
          </w:p>
        </w:tc>
        <w:tc>
          <w:tcPr>
            <w:tcW w:w="491" w:type="pct"/>
            <w:shd w:val="clear" w:color="auto" w:fill="auto"/>
            <w:noWrap w:val="0"/>
            <w:vAlign w:val="center"/>
          </w:tcPr>
          <w:p w14:paraId="56B719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0" w:lineRule="exact"/>
              <w:ind w:left="0" w:right="0"/>
              <w:jc w:val="center"/>
              <w:textAlignment w:val="auto"/>
              <w:outlineLvl w:val="9"/>
              <w:rPr>
                <w:rFonts w:hint="eastAsia" w:ascii="仿宋_GB2312" w:hAnsi="仿宋_GB2312" w:eastAsia="仿宋_GB2312" w:cs="仿宋_GB2312"/>
                <w:b/>
                <w:bCs/>
                <w:color w:val="000000"/>
                <w:kern w:val="2"/>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shd w:val="clear" w:color="auto" w:fill="auto"/>
            <w:noWrap w:val="0"/>
            <w:vAlign w:val="center"/>
          </w:tcPr>
          <w:p w14:paraId="6E6F94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zh-CN"/>
              </w:rPr>
            </w:pPr>
          </w:p>
        </w:tc>
      </w:tr>
      <w:tr w14:paraId="1E865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168E1B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p>
        </w:tc>
        <w:tc>
          <w:tcPr>
            <w:tcW w:w="462" w:type="pct"/>
            <w:shd w:val="clear" w:color="auto" w:fill="auto"/>
            <w:noWrap w:val="0"/>
            <w:vAlign w:val="center"/>
          </w:tcPr>
          <w:p w14:paraId="480275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bidi="ar-SA"/>
              </w:rPr>
              <w:t>7.2</w:t>
            </w:r>
            <w:r>
              <w:rPr>
                <w:rFonts w:hint="eastAsia" w:ascii="仿宋_GB2312" w:hAnsi="仿宋_GB2312" w:eastAsia="仿宋_GB2312" w:cs="仿宋_GB2312"/>
                <w:b/>
                <w:bCs/>
                <w:color w:val="000000"/>
                <w:kern w:val="0"/>
                <w:sz w:val="21"/>
                <w:szCs w:val="21"/>
                <w:highlight w:val="none"/>
                <w:lang w:val="en-US" w:eastAsia="zh-CN"/>
              </w:rPr>
              <w:t>*</w:t>
            </w:r>
          </w:p>
        </w:tc>
        <w:tc>
          <w:tcPr>
            <w:tcW w:w="2919" w:type="pct"/>
            <w:gridSpan w:val="2"/>
            <w:shd w:val="clear" w:color="auto" w:fill="auto"/>
            <w:noWrap w:val="0"/>
            <w:vAlign w:val="center"/>
          </w:tcPr>
          <w:p w14:paraId="26FD13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bidi="ar-SA"/>
              </w:rPr>
              <w:t>标签内容是否包括品名、基原、批号、规格、产地、数量或重量、采收日期、包装日期、追溯标志、企业名称等信息，防止混淆和差错。</w:t>
            </w:r>
          </w:p>
        </w:tc>
        <w:tc>
          <w:tcPr>
            <w:tcW w:w="491" w:type="pct"/>
            <w:shd w:val="clear" w:color="auto" w:fill="auto"/>
            <w:noWrap w:val="0"/>
            <w:vAlign w:val="center"/>
          </w:tcPr>
          <w:p w14:paraId="668591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shd w:val="clear" w:color="auto" w:fill="auto"/>
            <w:noWrap w:val="0"/>
            <w:vAlign w:val="center"/>
          </w:tcPr>
          <w:p w14:paraId="47C2AC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zh-CN"/>
              </w:rPr>
            </w:pPr>
          </w:p>
        </w:tc>
      </w:tr>
      <w:tr w14:paraId="15692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3B39D1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p>
        </w:tc>
        <w:tc>
          <w:tcPr>
            <w:tcW w:w="462" w:type="pct"/>
            <w:shd w:val="clear" w:color="auto" w:fill="auto"/>
            <w:noWrap w:val="0"/>
            <w:vAlign w:val="center"/>
          </w:tcPr>
          <w:p w14:paraId="4F864D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bidi="ar-SA"/>
              </w:rPr>
              <w:t>7.3</w:t>
            </w:r>
          </w:p>
        </w:tc>
        <w:tc>
          <w:tcPr>
            <w:tcW w:w="2919" w:type="pct"/>
            <w:gridSpan w:val="2"/>
            <w:shd w:val="clear" w:color="auto" w:fill="auto"/>
            <w:noWrap w:val="0"/>
            <w:vAlign w:val="center"/>
          </w:tcPr>
          <w:p w14:paraId="4435B9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bidi="ar-SA"/>
              </w:rPr>
              <w:t>运输过程是否采取有效可靠的措施，保证产品质量稳定，防止发生污染、异物混入、包装破损、雨雪淋湿、光照直射等影响药材质量的情况。</w:t>
            </w:r>
          </w:p>
        </w:tc>
        <w:tc>
          <w:tcPr>
            <w:tcW w:w="491" w:type="pct"/>
            <w:shd w:val="clear" w:color="auto" w:fill="auto"/>
            <w:noWrap w:val="0"/>
            <w:vAlign w:val="center"/>
          </w:tcPr>
          <w:p w14:paraId="795E23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shd w:val="clear" w:color="auto" w:fill="auto"/>
            <w:noWrap w:val="0"/>
            <w:vAlign w:val="center"/>
          </w:tcPr>
          <w:p w14:paraId="06FEB7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zh-CN"/>
              </w:rPr>
            </w:pPr>
          </w:p>
        </w:tc>
      </w:tr>
      <w:tr w14:paraId="4F513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restart"/>
            <w:shd w:val="clear" w:color="auto" w:fill="auto"/>
            <w:noWrap w:val="0"/>
            <w:vAlign w:val="center"/>
          </w:tcPr>
          <w:p w14:paraId="27FC6B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rPr>
              <w:t>8.</w:t>
            </w:r>
            <w:r>
              <w:rPr>
                <w:rFonts w:hint="eastAsia" w:ascii="仿宋_GB2312" w:hAnsi="仿宋_GB2312" w:eastAsia="仿宋_GB2312" w:cs="仿宋_GB2312"/>
                <w:b/>
                <w:bCs/>
                <w:color w:val="000000"/>
                <w:kern w:val="0"/>
                <w:sz w:val="21"/>
                <w:szCs w:val="21"/>
                <w:highlight w:val="none"/>
                <w:lang w:eastAsia="zh-CN"/>
              </w:rPr>
              <w:t>质量管理</w:t>
            </w:r>
          </w:p>
        </w:tc>
        <w:tc>
          <w:tcPr>
            <w:tcW w:w="462" w:type="pct"/>
            <w:shd w:val="clear" w:color="auto" w:fill="auto"/>
            <w:noWrap w:val="0"/>
            <w:vAlign w:val="center"/>
          </w:tcPr>
          <w:p w14:paraId="4CF7A1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bidi="ar-SA"/>
              </w:rPr>
              <w:t>8.1</w:t>
            </w:r>
            <w:r>
              <w:rPr>
                <w:rFonts w:hint="eastAsia" w:ascii="仿宋_GB2312" w:hAnsi="仿宋_GB2312" w:eastAsia="仿宋_GB2312" w:cs="仿宋_GB2312"/>
                <w:b/>
                <w:bCs/>
                <w:color w:val="000000"/>
                <w:kern w:val="0"/>
                <w:sz w:val="21"/>
                <w:szCs w:val="21"/>
                <w:highlight w:val="none"/>
                <w:lang w:val="en-US" w:eastAsia="zh-CN"/>
              </w:rPr>
              <w:t>*</w:t>
            </w:r>
          </w:p>
        </w:tc>
        <w:tc>
          <w:tcPr>
            <w:tcW w:w="2919" w:type="pct"/>
            <w:gridSpan w:val="2"/>
            <w:shd w:val="clear" w:color="auto" w:fill="auto"/>
            <w:noWrap w:val="0"/>
            <w:vAlign w:val="center"/>
          </w:tcPr>
          <w:p w14:paraId="65BFE0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鲜切药材的质量追溯体系是否能够保证中药材产地、种子种苗来源、完整的农事记录等信息，药材种植、采收、加工、干燥、包装、仓储及销售等全过程可追溯。</w:t>
            </w:r>
          </w:p>
        </w:tc>
        <w:tc>
          <w:tcPr>
            <w:tcW w:w="491" w:type="pct"/>
            <w:shd w:val="clear" w:color="auto" w:fill="auto"/>
            <w:noWrap w:val="0"/>
            <w:vAlign w:val="center"/>
          </w:tcPr>
          <w:p w14:paraId="428D3D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zh-CN" w:eastAsia="zh-CN" w:bidi="zh-CN"/>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shd w:val="clear" w:color="auto" w:fill="auto"/>
            <w:noWrap w:val="0"/>
            <w:vAlign w:val="center"/>
          </w:tcPr>
          <w:p w14:paraId="354518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zh-CN"/>
              </w:rPr>
            </w:pPr>
          </w:p>
        </w:tc>
      </w:tr>
      <w:tr w14:paraId="34C76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026B49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p>
        </w:tc>
        <w:tc>
          <w:tcPr>
            <w:tcW w:w="462" w:type="pct"/>
            <w:shd w:val="clear" w:color="auto" w:fill="auto"/>
            <w:noWrap w:val="0"/>
            <w:vAlign w:val="center"/>
          </w:tcPr>
          <w:p w14:paraId="4C86D2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bidi="ar-SA"/>
              </w:rPr>
              <w:t>8.2</w:t>
            </w:r>
            <w:r>
              <w:rPr>
                <w:rFonts w:hint="eastAsia" w:ascii="仿宋_GB2312" w:hAnsi="仿宋_GB2312" w:eastAsia="仿宋_GB2312" w:cs="仿宋_GB2312"/>
                <w:b/>
                <w:bCs/>
                <w:color w:val="000000"/>
                <w:kern w:val="0"/>
                <w:sz w:val="21"/>
                <w:szCs w:val="21"/>
                <w:highlight w:val="none"/>
                <w:lang w:val="en-US" w:eastAsia="zh-CN"/>
              </w:rPr>
              <w:t>*</w:t>
            </w:r>
          </w:p>
        </w:tc>
        <w:tc>
          <w:tcPr>
            <w:tcW w:w="2919" w:type="pct"/>
            <w:gridSpan w:val="2"/>
            <w:shd w:val="clear" w:color="auto" w:fill="auto"/>
            <w:noWrap w:val="0"/>
            <w:vAlign w:val="center"/>
          </w:tcPr>
          <w:p w14:paraId="629469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bidi="ar-SA"/>
              </w:rPr>
              <w:t>是否根据工艺研究、工艺验证制定工艺流程与技术要求。</w:t>
            </w:r>
          </w:p>
        </w:tc>
        <w:tc>
          <w:tcPr>
            <w:tcW w:w="491" w:type="pct"/>
            <w:shd w:val="clear" w:color="auto" w:fill="auto"/>
            <w:noWrap w:val="0"/>
            <w:vAlign w:val="center"/>
          </w:tcPr>
          <w:p w14:paraId="2EE90D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0" w:lineRule="exact"/>
              <w:ind w:left="0" w:right="0"/>
              <w:jc w:val="center"/>
              <w:textAlignment w:val="auto"/>
              <w:outlineLvl w:val="9"/>
              <w:rPr>
                <w:rFonts w:hint="eastAsia" w:ascii="仿宋_GB2312" w:hAnsi="仿宋_GB2312" w:eastAsia="仿宋_GB2312" w:cs="仿宋_GB2312"/>
                <w:b/>
                <w:bCs/>
                <w:color w:val="000000"/>
                <w:kern w:val="2"/>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shd w:val="clear" w:color="auto" w:fill="auto"/>
            <w:noWrap w:val="0"/>
            <w:vAlign w:val="center"/>
          </w:tcPr>
          <w:p w14:paraId="314028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zh-CN"/>
              </w:rPr>
            </w:pPr>
          </w:p>
        </w:tc>
      </w:tr>
      <w:tr w14:paraId="3D99A2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2BECA4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p>
        </w:tc>
        <w:tc>
          <w:tcPr>
            <w:tcW w:w="462" w:type="pct"/>
            <w:shd w:val="clear" w:color="auto" w:fill="auto"/>
            <w:noWrap w:val="0"/>
            <w:vAlign w:val="center"/>
          </w:tcPr>
          <w:p w14:paraId="677F75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bidi="ar-SA"/>
              </w:rPr>
              <w:t>8.3</w:t>
            </w:r>
          </w:p>
        </w:tc>
        <w:tc>
          <w:tcPr>
            <w:tcW w:w="2919" w:type="pct"/>
            <w:gridSpan w:val="2"/>
            <w:shd w:val="clear" w:color="auto" w:fill="auto"/>
            <w:noWrap w:val="0"/>
            <w:vAlign w:val="center"/>
          </w:tcPr>
          <w:p w14:paraId="07C5F3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bidi="ar-SA"/>
              </w:rPr>
              <w:t>是否根据质量研究制定鲜切药材质量标准，该标准应当不低于同品种中药材或中药饮片的法定检验标准（外观形态除外）。</w:t>
            </w:r>
          </w:p>
        </w:tc>
        <w:tc>
          <w:tcPr>
            <w:tcW w:w="491" w:type="pct"/>
            <w:shd w:val="clear" w:color="auto" w:fill="auto"/>
            <w:noWrap w:val="0"/>
            <w:vAlign w:val="center"/>
          </w:tcPr>
          <w:p w14:paraId="5D8220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shd w:val="clear" w:color="auto" w:fill="auto"/>
            <w:noWrap w:val="0"/>
            <w:vAlign w:val="center"/>
          </w:tcPr>
          <w:p w14:paraId="299AC9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zh-CN"/>
              </w:rPr>
            </w:pPr>
          </w:p>
        </w:tc>
      </w:tr>
      <w:tr w14:paraId="747EA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70A828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p>
        </w:tc>
        <w:tc>
          <w:tcPr>
            <w:tcW w:w="462" w:type="pct"/>
            <w:shd w:val="clear" w:color="auto" w:fill="auto"/>
            <w:noWrap w:val="0"/>
            <w:vAlign w:val="center"/>
          </w:tcPr>
          <w:p w14:paraId="6FEBF5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bidi="ar-SA"/>
              </w:rPr>
              <w:t>8.4</w:t>
            </w:r>
          </w:p>
        </w:tc>
        <w:tc>
          <w:tcPr>
            <w:tcW w:w="2919" w:type="pct"/>
            <w:gridSpan w:val="2"/>
            <w:shd w:val="clear" w:color="auto" w:fill="auto"/>
            <w:noWrap w:val="0"/>
            <w:vAlign w:val="center"/>
          </w:tcPr>
          <w:p w14:paraId="1EBC4C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bidi="ar-SA"/>
              </w:rPr>
              <w:t>是否按照标准自行检验或委托检验放行，对每批鲜切药材是否进行留样，留样量至少应为两倍检验量，留样时间至少为放行后一年。</w:t>
            </w:r>
          </w:p>
        </w:tc>
        <w:tc>
          <w:tcPr>
            <w:tcW w:w="491" w:type="pct"/>
            <w:shd w:val="clear" w:color="auto" w:fill="auto"/>
            <w:noWrap w:val="0"/>
            <w:vAlign w:val="center"/>
          </w:tcPr>
          <w:p w14:paraId="5F79C1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shd w:val="clear" w:color="auto" w:fill="auto"/>
            <w:noWrap w:val="0"/>
            <w:vAlign w:val="center"/>
          </w:tcPr>
          <w:p w14:paraId="174076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zh-CN"/>
              </w:rPr>
            </w:pPr>
          </w:p>
        </w:tc>
      </w:tr>
      <w:tr w14:paraId="1DBCE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restart"/>
            <w:shd w:val="clear" w:color="auto" w:fill="auto"/>
            <w:noWrap w:val="0"/>
            <w:vAlign w:val="center"/>
          </w:tcPr>
          <w:p w14:paraId="7695BE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rPr>
              <w:t>9.</w:t>
            </w:r>
            <w:r>
              <w:rPr>
                <w:rFonts w:hint="eastAsia" w:ascii="仿宋_GB2312" w:hAnsi="仿宋_GB2312" w:eastAsia="仿宋_GB2312" w:cs="仿宋_GB2312"/>
                <w:b/>
                <w:bCs/>
                <w:color w:val="000000"/>
                <w:kern w:val="0"/>
                <w:sz w:val="21"/>
                <w:szCs w:val="21"/>
                <w:highlight w:val="none"/>
                <w:lang w:eastAsia="zh-CN"/>
              </w:rPr>
              <w:t>规章制度</w:t>
            </w:r>
          </w:p>
        </w:tc>
        <w:tc>
          <w:tcPr>
            <w:tcW w:w="462" w:type="pct"/>
            <w:shd w:val="clear" w:color="auto" w:fill="auto"/>
            <w:noWrap w:val="0"/>
            <w:vAlign w:val="center"/>
          </w:tcPr>
          <w:p w14:paraId="7E0B4C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rPr>
              <w:t>9.1</w:t>
            </w:r>
          </w:p>
        </w:tc>
        <w:tc>
          <w:tcPr>
            <w:tcW w:w="2919" w:type="pct"/>
            <w:gridSpan w:val="2"/>
            <w:shd w:val="clear" w:color="auto" w:fill="auto"/>
            <w:noWrap w:val="0"/>
            <w:vAlign w:val="center"/>
          </w:tcPr>
          <w:p w14:paraId="34B524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是否制定具体品种的趁鲜切制加工技术规范和质量标准文件，是否建立并严格执行人员管理、原料管理、加工过程管理、仓储管理等制度文件。</w:t>
            </w:r>
          </w:p>
        </w:tc>
        <w:tc>
          <w:tcPr>
            <w:tcW w:w="491" w:type="pct"/>
            <w:shd w:val="clear" w:color="auto" w:fill="auto"/>
            <w:noWrap w:val="0"/>
            <w:vAlign w:val="center"/>
          </w:tcPr>
          <w:p w14:paraId="6A0796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2"/>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shd w:val="clear" w:color="auto" w:fill="auto"/>
            <w:noWrap w:val="0"/>
            <w:vAlign w:val="center"/>
          </w:tcPr>
          <w:p w14:paraId="6BB785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2"/>
                <w:sz w:val="21"/>
                <w:szCs w:val="21"/>
                <w:highlight w:val="none"/>
                <w:lang w:val="en-US" w:eastAsia="zh-CN" w:bidi="ar-SA"/>
              </w:rPr>
            </w:pPr>
          </w:p>
        </w:tc>
      </w:tr>
      <w:tr w14:paraId="33276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769FF9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p>
        </w:tc>
        <w:tc>
          <w:tcPr>
            <w:tcW w:w="462" w:type="pct"/>
            <w:shd w:val="clear" w:color="auto" w:fill="auto"/>
            <w:noWrap w:val="0"/>
            <w:vAlign w:val="center"/>
          </w:tcPr>
          <w:p w14:paraId="24AC8E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rPr>
              <w:t>9.2</w:t>
            </w:r>
          </w:p>
        </w:tc>
        <w:tc>
          <w:tcPr>
            <w:tcW w:w="2919" w:type="pct"/>
            <w:gridSpan w:val="2"/>
            <w:shd w:val="clear" w:color="auto" w:fill="auto"/>
            <w:noWrap w:val="0"/>
            <w:vAlign w:val="center"/>
          </w:tcPr>
          <w:p w14:paraId="66D3C9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是否对中药材产地加工和包装全过程的管理和质量控制情况进行批生产记录。</w:t>
            </w:r>
          </w:p>
        </w:tc>
        <w:tc>
          <w:tcPr>
            <w:tcW w:w="491" w:type="pct"/>
            <w:shd w:val="clear" w:color="auto" w:fill="auto"/>
            <w:noWrap w:val="0"/>
            <w:vAlign w:val="center"/>
          </w:tcPr>
          <w:p w14:paraId="0BFED5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0" w:lineRule="exact"/>
              <w:ind w:left="0" w:right="0"/>
              <w:jc w:val="center"/>
              <w:textAlignment w:val="auto"/>
              <w:outlineLvl w:val="9"/>
              <w:rPr>
                <w:rFonts w:hint="eastAsia" w:ascii="仿宋_GB2312" w:hAnsi="仿宋_GB2312" w:eastAsia="仿宋_GB2312" w:cs="仿宋_GB2312"/>
                <w:b/>
                <w:bCs/>
                <w:color w:val="000000"/>
                <w:kern w:val="2"/>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shd w:val="clear" w:color="auto" w:fill="auto"/>
            <w:noWrap w:val="0"/>
            <w:vAlign w:val="center"/>
          </w:tcPr>
          <w:p w14:paraId="3B9B50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0" w:lineRule="exact"/>
              <w:ind w:left="0" w:right="0"/>
              <w:jc w:val="center"/>
              <w:textAlignment w:val="auto"/>
              <w:outlineLvl w:val="9"/>
              <w:rPr>
                <w:rFonts w:hint="eastAsia" w:ascii="仿宋_GB2312" w:hAnsi="仿宋_GB2312" w:eastAsia="仿宋_GB2312" w:cs="仿宋_GB2312"/>
                <w:b/>
                <w:bCs/>
                <w:color w:val="000000"/>
                <w:kern w:val="2"/>
                <w:sz w:val="21"/>
                <w:szCs w:val="21"/>
                <w:highlight w:val="none"/>
                <w:lang w:val="en-US" w:eastAsia="zh-CN" w:bidi="ar-SA"/>
              </w:rPr>
            </w:pPr>
          </w:p>
        </w:tc>
      </w:tr>
      <w:tr w14:paraId="206A2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3F0124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p>
        </w:tc>
        <w:tc>
          <w:tcPr>
            <w:tcW w:w="462" w:type="pct"/>
            <w:shd w:val="clear" w:color="auto" w:fill="auto"/>
            <w:noWrap w:val="0"/>
            <w:vAlign w:val="center"/>
          </w:tcPr>
          <w:p w14:paraId="7CE814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rPr>
              <w:t>9.3</w:t>
            </w:r>
          </w:p>
        </w:tc>
        <w:tc>
          <w:tcPr>
            <w:tcW w:w="2919" w:type="pct"/>
            <w:gridSpan w:val="2"/>
            <w:shd w:val="clear" w:color="auto" w:fill="auto"/>
            <w:noWrap w:val="0"/>
            <w:vAlign w:val="center"/>
          </w:tcPr>
          <w:p w14:paraId="55B31C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是否定期审核、修订文件，使用的文件应为现行有效的文本，已废止或者失效的文件除留档备查外，不得在工作现场出现。</w:t>
            </w:r>
          </w:p>
        </w:tc>
        <w:tc>
          <w:tcPr>
            <w:tcW w:w="491" w:type="pct"/>
            <w:shd w:val="clear" w:color="auto" w:fill="auto"/>
            <w:noWrap w:val="0"/>
            <w:vAlign w:val="center"/>
          </w:tcPr>
          <w:p w14:paraId="7074BD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2"/>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41D91F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5D6C9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4E176F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p>
        </w:tc>
        <w:tc>
          <w:tcPr>
            <w:tcW w:w="462" w:type="pct"/>
            <w:shd w:val="clear" w:color="auto" w:fill="auto"/>
            <w:noWrap w:val="0"/>
            <w:vAlign w:val="center"/>
          </w:tcPr>
          <w:p w14:paraId="46E4F9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val="en-US" w:eastAsia="zh-CN"/>
              </w:rPr>
              <w:t>9.4</w:t>
            </w:r>
          </w:p>
        </w:tc>
        <w:tc>
          <w:tcPr>
            <w:tcW w:w="2919" w:type="pct"/>
            <w:gridSpan w:val="2"/>
            <w:shd w:val="clear" w:color="auto" w:fill="auto"/>
            <w:noWrap w:val="0"/>
            <w:vAlign w:val="center"/>
          </w:tcPr>
          <w:p w14:paraId="167554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是否根据影响中药材质量的关键环节，结合管理实际，明确记录要求。</w:t>
            </w:r>
          </w:p>
        </w:tc>
        <w:tc>
          <w:tcPr>
            <w:tcW w:w="491" w:type="pct"/>
            <w:shd w:val="clear" w:color="auto" w:fill="auto"/>
            <w:noWrap w:val="0"/>
            <w:vAlign w:val="center"/>
          </w:tcPr>
          <w:p w14:paraId="79AB2F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2"/>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5A6025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0F968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restart"/>
            <w:noWrap w:val="0"/>
            <w:vAlign w:val="center"/>
          </w:tcPr>
          <w:p w14:paraId="77E10D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rPr>
            </w:pPr>
            <w:r>
              <w:rPr>
                <w:rFonts w:hint="eastAsia" w:ascii="仿宋_GB2312" w:hAnsi="仿宋_GB2312" w:eastAsia="仿宋_GB2312" w:cs="仿宋_GB2312"/>
                <w:b/>
                <w:bCs/>
                <w:color w:val="000000"/>
                <w:kern w:val="0"/>
                <w:sz w:val="21"/>
                <w:szCs w:val="21"/>
                <w:highlight w:val="none"/>
                <w:lang w:val="en-US" w:eastAsia="zh-CN"/>
              </w:rPr>
              <w:t>10.其他</w:t>
            </w:r>
          </w:p>
        </w:tc>
        <w:tc>
          <w:tcPr>
            <w:tcW w:w="462" w:type="pct"/>
            <w:noWrap w:val="0"/>
            <w:vAlign w:val="center"/>
          </w:tcPr>
          <w:p w14:paraId="5CA915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rPr>
            </w:pPr>
            <w:r>
              <w:rPr>
                <w:rFonts w:hint="eastAsia" w:ascii="仿宋_GB2312" w:hAnsi="仿宋_GB2312" w:eastAsia="仿宋_GB2312" w:cs="仿宋_GB2312"/>
                <w:b/>
                <w:bCs/>
                <w:color w:val="000000"/>
                <w:kern w:val="0"/>
                <w:sz w:val="21"/>
                <w:szCs w:val="21"/>
                <w:highlight w:val="none"/>
                <w:lang w:val="en-US" w:eastAsia="zh-CN"/>
              </w:rPr>
              <w:t>10.1</w:t>
            </w:r>
          </w:p>
        </w:tc>
        <w:tc>
          <w:tcPr>
            <w:tcW w:w="2919" w:type="pct"/>
            <w:gridSpan w:val="2"/>
            <w:noWrap w:val="0"/>
            <w:vAlign w:val="center"/>
          </w:tcPr>
          <w:p w14:paraId="7978A9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val="en-US" w:eastAsia="zh-CN"/>
              </w:rPr>
            </w:pPr>
            <w:r>
              <w:rPr>
                <w:rFonts w:hint="eastAsia" w:ascii="仿宋_GB2312" w:hAnsi="仿宋_GB2312" w:eastAsia="仿宋_GB2312" w:cs="仿宋_GB2312"/>
                <w:b/>
                <w:bCs/>
                <w:color w:val="000000"/>
                <w:kern w:val="0"/>
                <w:sz w:val="21"/>
                <w:szCs w:val="21"/>
                <w:highlight w:val="none"/>
                <w:lang w:eastAsia="zh-CN"/>
              </w:rPr>
              <w:t>存在其他违法违规情形。</w:t>
            </w:r>
          </w:p>
        </w:tc>
        <w:tc>
          <w:tcPr>
            <w:tcW w:w="491" w:type="pct"/>
            <w:shd w:val="clear" w:color="auto" w:fill="auto"/>
            <w:noWrap w:val="0"/>
            <w:vAlign w:val="center"/>
          </w:tcPr>
          <w:p w14:paraId="382A72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0" w:lineRule="exact"/>
              <w:ind w:left="0" w:right="0"/>
              <w:jc w:val="center"/>
              <w:textAlignment w:val="auto"/>
              <w:outlineLvl w:val="9"/>
              <w:rPr>
                <w:rFonts w:hint="eastAsia" w:ascii="仿宋_GB2312" w:hAnsi="仿宋_GB2312" w:eastAsia="仿宋_GB2312" w:cs="仿宋_GB2312"/>
                <w:b/>
                <w:bCs/>
                <w:color w:val="000000"/>
                <w:kern w:val="2"/>
                <w:sz w:val="21"/>
                <w:szCs w:val="21"/>
                <w:highlight w:val="none"/>
                <w:lang w:val="en-US" w:eastAsia="zh-CN" w:bidi="ar-SA"/>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24C165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outlineLvl w:val="9"/>
              <w:rPr>
                <w:rFonts w:hint="eastAsia" w:ascii="仿宋_GB2312" w:hAnsi="仿宋_GB2312" w:eastAsia="仿宋_GB2312" w:cs="仿宋_GB2312"/>
                <w:b/>
                <w:bCs/>
                <w:color w:val="000000"/>
                <w:kern w:val="2"/>
                <w:sz w:val="21"/>
                <w:szCs w:val="21"/>
                <w:highlight w:val="none"/>
                <w:lang w:val="en-US" w:eastAsia="zh-CN" w:bidi="ar-SA"/>
              </w:rPr>
            </w:pPr>
          </w:p>
        </w:tc>
      </w:tr>
      <w:tr w14:paraId="395AF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605" w:type="pct"/>
            <w:vMerge w:val="continue"/>
            <w:noWrap w:val="0"/>
            <w:vAlign w:val="center"/>
          </w:tcPr>
          <w:p w14:paraId="643D94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eastAsia="zh-CN"/>
              </w:rPr>
            </w:pPr>
          </w:p>
        </w:tc>
        <w:tc>
          <w:tcPr>
            <w:tcW w:w="462" w:type="pct"/>
            <w:noWrap w:val="0"/>
            <w:vAlign w:val="center"/>
          </w:tcPr>
          <w:p w14:paraId="1930E1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rPr>
            </w:pPr>
            <w:r>
              <w:rPr>
                <w:rFonts w:hint="eastAsia" w:ascii="仿宋_GB2312" w:hAnsi="仿宋_GB2312" w:eastAsia="仿宋_GB2312" w:cs="仿宋_GB2312"/>
                <w:b/>
                <w:bCs/>
                <w:color w:val="000000"/>
                <w:kern w:val="0"/>
                <w:sz w:val="21"/>
                <w:szCs w:val="21"/>
                <w:highlight w:val="none"/>
                <w:lang w:val="en-US" w:eastAsia="zh-CN"/>
              </w:rPr>
              <w:t>10.2</w:t>
            </w:r>
          </w:p>
        </w:tc>
        <w:tc>
          <w:tcPr>
            <w:tcW w:w="2919" w:type="pct"/>
            <w:gridSpan w:val="2"/>
            <w:noWrap w:val="0"/>
            <w:vAlign w:val="center"/>
          </w:tcPr>
          <w:p w14:paraId="0D6286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val="en-US" w:eastAsia="zh-CN"/>
              </w:rPr>
            </w:pPr>
            <w:r>
              <w:rPr>
                <w:rFonts w:hint="eastAsia" w:ascii="仿宋_GB2312" w:hAnsi="仿宋_GB2312" w:eastAsia="仿宋_GB2312" w:cs="仿宋_GB2312"/>
                <w:b/>
                <w:bCs/>
                <w:color w:val="000000"/>
                <w:kern w:val="0"/>
                <w:sz w:val="21"/>
                <w:szCs w:val="21"/>
                <w:highlight w:val="none"/>
                <w:lang w:val="en-US" w:eastAsia="zh-CN"/>
              </w:rPr>
              <w:t>本年度各级监管部门监督检查发现问题是否已完成整改（如有）</w:t>
            </w:r>
            <w:r>
              <w:rPr>
                <w:rFonts w:hint="eastAsia" w:ascii="仿宋_GB2312" w:hAnsi="仿宋_GB2312" w:eastAsia="仿宋_GB2312" w:cs="仿宋_GB2312"/>
                <w:b/>
                <w:bCs/>
                <w:color w:val="000000"/>
                <w:kern w:val="0"/>
                <w:sz w:val="21"/>
                <w:szCs w:val="21"/>
                <w:highlight w:val="none"/>
                <w:lang w:eastAsia="zh-CN"/>
              </w:rPr>
              <w:t>。</w:t>
            </w:r>
          </w:p>
        </w:tc>
        <w:tc>
          <w:tcPr>
            <w:tcW w:w="491" w:type="pct"/>
            <w:noWrap w:val="0"/>
            <w:vAlign w:val="center"/>
          </w:tcPr>
          <w:p w14:paraId="0F0429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val="en-US" w:eastAsia="zh-CN" w:bidi="zh-CN"/>
              </w:rPr>
            </w:pPr>
            <w:r>
              <w:rPr>
                <w:rFonts w:hint="eastAsia" w:ascii="仿宋_GB2312" w:hAnsi="仿宋_GB2312" w:eastAsia="仿宋_GB2312" w:cs="仿宋_GB2312"/>
                <w:b/>
                <w:bCs/>
                <w:color w:val="000000"/>
                <w:kern w:val="0"/>
                <w:sz w:val="21"/>
                <w:szCs w:val="21"/>
                <w:highlight w:val="none"/>
                <w:lang w:eastAsia="zh-CN"/>
              </w:rPr>
              <w:t>□是 □否</w:t>
            </w:r>
          </w:p>
        </w:tc>
        <w:tc>
          <w:tcPr>
            <w:tcW w:w="520" w:type="pct"/>
            <w:noWrap w:val="0"/>
            <w:vAlign w:val="center"/>
          </w:tcPr>
          <w:p w14:paraId="147478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outlineLvl w:val="9"/>
              <w:rPr>
                <w:rFonts w:hint="eastAsia" w:ascii="仿宋_GB2312" w:hAnsi="仿宋_GB2312" w:eastAsia="仿宋_GB2312" w:cs="仿宋_GB2312"/>
                <w:b/>
                <w:bCs/>
                <w:color w:val="000000"/>
                <w:kern w:val="2"/>
                <w:sz w:val="21"/>
                <w:szCs w:val="21"/>
                <w:highlight w:val="none"/>
                <w:lang w:val="en-US" w:eastAsia="zh-CN" w:bidi="ar-SA"/>
              </w:rPr>
            </w:pPr>
          </w:p>
        </w:tc>
      </w:tr>
      <w:tr w14:paraId="2FBE1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90" w:hRule="atLeast"/>
          <w:jc w:val="center"/>
        </w:trPr>
        <w:tc>
          <w:tcPr>
            <w:tcW w:w="5000" w:type="pct"/>
            <w:gridSpan w:val="6"/>
            <w:noWrap w:val="0"/>
            <w:vAlign w:val="center"/>
          </w:tcPr>
          <w:p w14:paraId="2A3A05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检查结论（可另附页）</w:t>
            </w:r>
          </w:p>
          <w:p w14:paraId="47609FEE">
            <w:pPr>
              <w:keepNext w:val="0"/>
              <w:keepLines w:val="0"/>
              <w:pageBreakBefore w:val="0"/>
              <w:widowControl w:val="0"/>
              <w:suppressLineNumbers w:val="0"/>
              <w:kinsoku/>
              <w:overflowPunct/>
              <w:autoSpaceDE/>
              <w:autoSpaceDN/>
              <w:bidi w:val="0"/>
              <w:adjustRightInd/>
              <w:spacing w:before="0" w:beforeAutospacing="0" w:after="0" w:afterAutospacing="0"/>
              <w:ind w:left="0" w:right="0"/>
              <w:jc w:val="both"/>
              <w:textAlignment w:val="auto"/>
              <w:rPr>
                <w:rFonts w:hint="eastAsia" w:ascii="仿宋_GB2312" w:hAnsi="仿宋_GB2312" w:eastAsia="仿宋_GB2312" w:cs="仿宋_GB2312"/>
                <w:b/>
                <w:bCs/>
                <w:kern w:val="2"/>
                <w:sz w:val="44"/>
                <w:szCs w:val="24"/>
                <w:highlight w:val="none"/>
                <w:lang w:val="en-US" w:eastAsia="zh-CN" w:bidi="ar-SA"/>
              </w:rPr>
            </w:pPr>
          </w:p>
          <w:p w14:paraId="0DFD622B">
            <w:pPr>
              <w:keepNext w:val="0"/>
              <w:keepLines w:val="0"/>
              <w:pageBreakBefore w:val="0"/>
              <w:widowControl w:val="0"/>
              <w:suppressLineNumbers w:val="0"/>
              <w:kinsoku/>
              <w:overflowPunct/>
              <w:autoSpaceDE/>
              <w:autoSpaceDN/>
              <w:bidi w:val="0"/>
              <w:adjustRightInd/>
              <w:spacing w:before="0" w:beforeAutospacing="0" w:after="0" w:afterAutospacing="0"/>
              <w:ind w:left="0" w:right="0"/>
              <w:jc w:val="both"/>
              <w:textAlignment w:val="auto"/>
              <w:rPr>
                <w:rFonts w:hint="eastAsia" w:ascii="仿宋_GB2312" w:hAnsi="仿宋_GB2312" w:eastAsia="仿宋_GB2312" w:cs="仿宋_GB2312"/>
                <w:b/>
                <w:bCs/>
                <w:kern w:val="2"/>
                <w:sz w:val="44"/>
                <w:szCs w:val="24"/>
                <w:highlight w:val="none"/>
                <w:lang w:val="en-US" w:eastAsia="zh-CN" w:bidi="ar-SA"/>
              </w:rPr>
            </w:pPr>
          </w:p>
          <w:p w14:paraId="1098A818">
            <w:pPr>
              <w:keepNext w:val="0"/>
              <w:keepLines w:val="0"/>
              <w:pageBreakBefore w:val="0"/>
              <w:widowControl w:val="0"/>
              <w:suppressLineNumbers w:val="0"/>
              <w:kinsoku/>
              <w:overflowPunct/>
              <w:autoSpaceDE/>
              <w:autoSpaceDN/>
              <w:bidi w:val="0"/>
              <w:adjustRightInd/>
              <w:spacing w:before="0" w:beforeAutospacing="0" w:after="0" w:afterAutospacing="0"/>
              <w:ind w:left="0" w:right="0"/>
              <w:jc w:val="both"/>
              <w:textAlignment w:val="auto"/>
              <w:rPr>
                <w:rFonts w:hint="eastAsia" w:ascii="仿宋_GB2312" w:hAnsi="仿宋_GB2312" w:eastAsia="仿宋_GB2312" w:cs="仿宋_GB2312"/>
                <w:b/>
                <w:bCs/>
                <w:kern w:val="2"/>
                <w:sz w:val="44"/>
                <w:szCs w:val="24"/>
                <w:highlight w:val="none"/>
                <w:lang w:val="en-US" w:eastAsia="zh-CN" w:bidi="ar-SA"/>
              </w:rPr>
            </w:pPr>
          </w:p>
          <w:p w14:paraId="7621D5A8">
            <w:pPr>
              <w:keepNext w:val="0"/>
              <w:keepLines w:val="0"/>
              <w:pageBreakBefore w:val="0"/>
              <w:widowControl w:val="0"/>
              <w:suppressLineNumbers w:val="0"/>
              <w:kinsoku/>
              <w:overflowPunct/>
              <w:autoSpaceDE/>
              <w:autoSpaceDN/>
              <w:bidi w:val="0"/>
              <w:adjustRightInd/>
              <w:spacing w:before="0" w:beforeAutospacing="0" w:after="0" w:afterAutospacing="0"/>
              <w:ind w:left="0" w:right="0"/>
              <w:jc w:val="both"/>
              <w:textAlignment w:val="auto"/>
              <w:rPr>
                <w:rFonts w:hint="eastAsia" w:ascii="仿宋_GB2312" w:hAnsi="仿宋_GB2312" w:eastAsia="仿宋_GB2312" w:cs="仿宋_GB2312"/>
                <w:b/>
                <w:bCs/>
                <w:kern w:val="2"/>
                <w:sz w:val="44"/>
                <w:szCs w:val="24"/>
                <w:highlight w:val="none"/>
                <w:lang w:val="en-US" w:eastAsia="zh-CN" w:bidi="ar-SA"/>
              </w:rPr>
            </w:pPr>
          </w:p>
          <w:p w14:paraId="3416D16B">
            <w:pPr>
              <w:keepNext w:val="0"/>
              <w:keepLines w:val="0"/>
              <w:pageBreakBefore w:val="0"/>
              <w:widowControl w:val="0"/>
              <w:suppressLineNumbers w:val="0"/>
              <w:kinsoku/>
              <w:overflowPunct/>
              <w:autoSpaceDE/>
              <w:autoSpaceDN/>
              <w:bidi w:val="0"/>
              <w:adjustRightInd/>
              <w:spacing w:before="0" w:beforeAutospacing="0" w:after="0" w:afterAutospacing="0"/>
              <w:ind w:left="0" w:right="0"/>
              <w:jc w:val="both"/>
              <w:textAlignment w:val="auto"/>
              <w:rPr>
                <w:rFonts w:hint="eastAsia" w:ascii="仿宋_GB2312" w:hAnsi="仿宋_GB2312" w:eastAsia="仿宋_GB2312" w:cs="仿宋_GB2312"/>
                <w:b/>
                <w:bCs/>
                <w:kern w:val="2"/>
                <w:sz w:val="44"/>
                <w:szCs w:val="24"/>
                <w:highlight w:val="none"/>
                <w:lang w:val="en-US" w:eastAsia="zh-CN" w:bidi="ar-SA"/>
              </w:rPr>
            </w:pPr>
          </w:p>
          <w:p w14:paraId="21B441C1">
            <w:pPr>
              <w:keepNext w:val="0"/>
              <w:keepLines w:val="0"/>
              <w:pageBreakBefore w:val="0"/>
              <w:widowControl w:val="0"/>
              <w:suppressLineNumbers w:val="0"/>
              <w:kinsoku/>
              <w:overflowPunct/>
              <w:autoSpaceDE/>
              <w:autoSpaceDN/>
              <w:bidi w:val="0"/>
              <w:adjustRightInd/>
              <w:spacing w:before="0" w:beforeAutospacing="0" w:after="0" w:afterAutospacing="0"/>
              <w:ind w:left="0" w:right="0"/>
              <w:jc w:val="both"/>
              <w:textAlignment w:val="auto"/>
              <w:rPr>
                <w:rFonts w:hint="eastAsia" w:ascii="仿宋_GB2312" w:hAnsi="仿宋_GB2312" w:eastAsia="仿宋_GB2312" w:cs="仿宋_GB2312"/>
                <w:b/>
                <w:bCs/>
                <w:kern w:val="2"/>
                <w:sz w:val="44"/>
                <w:szCs w:val="24"/>
                <w:highlight w:val="none"/>
                <w:lang w:val="en-US" w:eastAsia="zh-CN" w:bidi="ar-SA"/>
              </w:rPr>
            </w:pPr>
          </w:p>
          <w:p w14:paraId="5C232F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eastAsia="zh-CN"/>
              </w:rPr>
            </w:pPr>
          </w:p>
        </w:tc>
      </w:tr>
      <w:tr w14:paraId="6ADA8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108" w:type="dxa"/>
            <w:bottom w:w="0" w:type="dxa"/>
            <w:right w:w="108" w:type="dxa"/>
          </w:tblCellMar>
        </w:tblPrEx>
        <w:trPr>
          <w:cantSplit/>
          <w:trHeight w:val="283" w:hRule="atLeast"/>
          <w:jc w:val="center"/>
        </w:trPr>
        <w:tc>
          <w:tcPr>
            <w:tcW w:w="2638" w:type="pct"/>
            <w:gridSpan w:val="3"/>
            <w:noWrap w:val="0"/>
            <w:vAlign w:val="center"/>
          </w:tcPr>
          <w:p w14:paraId="43774E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left"/>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检查人员签名：</w:t>
            </w:r>
          </w:p>
          <w:p w14:paraId="6D9C94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p w14:paraId="16518D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outlineLvl w:val="9"/>
              <w:rPr>
                <w:rFonts w:hint="eastAsia" w:ascii="仿宋_GB2312" w:hAnsi="仿宋_GB2312" w:eastAsia="仿宋_GB2312" w:cs="仿宋_GB2312"/>
                <w:b/>
                <w:bCs/>
                <w:color w:val="000000"/>
                <w:kern w:val="0"/>
                <w:sz w:val="21"/>
                <w:szCs w:val="21"/>
                <w:highlight w:val="none"/>
                <w:lang w:eastAsia="zh-CN"/>
              </w:rPr>
            </w:pPr>
          </w:p>
          <w:p w14:paraId="4C3F3D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firstLine="2635" w:firstLineChars="1250"/>
              <w:jc w:val="center"/>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年    月    日</w:t>
            </w:r>
          </w:p>
        </w:tc>
        <w:tc>
          <w:tcPr>
            <w:tcW w:w="2361" w:type="pct"/>
            <w:gridSpan w:val="3"/>
            <w:noWrap w:val="0"/>
            <w:vAlign w:val="center"/>
          </w:tcPr>
          <w:p w14:paraId="4FB9E9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法定代表人/负责人签名：</w:t>
            </w:r>
          </w:p>
          <w:p w14:paraId="015364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eastAsia="zh-CN"/>
              </w:rPr>
            </w:pPr>
          </w:p>
          <w:p w14:paraId="1DFEA4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outlineLvl w:val="9"/>
              <w:rPr>
                <w:rFonts w:hint="eastAsia" w:ascii="仿宋_GB2312" w:hAnsi="仿宋_GB2312" w:eastAsia="仿宋_GB2312" w:cs="仿宋_GB2312"/>
                <w:b/>
                <w:bCs/>
                <w:color w:val="000000"/>
                <w:kern w:val="0"/>
                <w:sz w:val="21"/>
                <w:szCs w:val="21"/>
                <w:highlight w:val="none"/>
                <w:lang w:eastAsia="zh-CN"/>
              </w:rPr>
            </w:pPr>
          </w:p>
          <w:p w14:paraId="0525E3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firstLine="2951" w:firstLineChars="1400"/>
              <w:jc w:val="both"/>
              <w:textAlignment w:val="auto"/>
              <w:outlineLvl w:val="9"/>
              <w:rPr>
                <w:rFonts w:hint="eastAsia" w:ascii="仿宋_GB2312" w:hAnsi="仿宋_GB2312" w:eastAsia="仿宋_GB2312" w:cs="仿宋_GB2312"/>
                <w:b/>
                <w:bCs/>
                <w:color w:val="000000"/>
                <w:kern w:val="0"/>
                <w:sz w:val="21"/>
                <w:szCs w:val="21"/>
                <w:highlight w:val="none"/>
                <w:lang w:eastAsia="zh-CN"/>
              </w:rPr>
            </w:pPr>
            <w:r>
              <w:rPr>
                <w:rFonts w:hint="eastAsia" w:ascii="仿宋_GB2312" w:hAnsi="仿宋_GB2312" w:eastAsia="仿宋_GB2312" w:cs="仿宋_GB2312"/>
                <w:b/>
                <w:bCs/>
                <w:color w:val="000000"/>
                <w:kern w:val="0"/>
                <w:sz w:val="21"/>
                <w:szCs w:val="21"/>
                <w:highlight w:val="none"/>
                <w:lang w:eastAsia="zh-CN"/>
              </w:rPr>
              <w:t>年    月    日（章）</w:t>
            </w:r>
          </w:p>
        </w:tc>
      </w:tr>
    </w:tbl>
    <w:p w14:paraId="6C3D4863">
      <w:pPr>
        <w:keepLines w:val="0"/>
        <w:pageBreakBefore w:val="0"/>
        <w:widowControl w:val="0"/>
        <w:kinsoku/>
        <w:overflowPunct/>
        <w:autoSpaceDE/>
        <w:autoSpaceDN/>
        <w:bidi w:val="0"/>
        <w:adjustRightInd/>
        <w:spacing w:after="0" w:line="240" w:lineRule="auto"/>
        <w:jc w:val="both"/>
        <w:textAlignment w:val="auto"/>
        <w:rPr>
          <w:rFonts w:hint="eastAsia" w:ascii="仿宋_GB2312" w:hAnsi="仿宋_GB2312" w:eastAsia="仿宋_GB2312" w:cs="仿宋_GB2312"/>
          <w:b/>
          <w:bCs/>
          <w:kern w:val="2"/>
          <w:sz w:val="32"/>
          <w:szCs w:val="32"/>
          <w:highlight w:val="none"/>
          <w:lang w:eastAsia="zh-CN"/>
        </w:rPr>
        <w:sectPr>
          <w:footerReference r:id="rId4" w:type="default"/>
          <w:pgSz w:w="15840" w:h="12240" w:orient="landscape"/>
          <w:pgMar w:top="1587" w:right="2098" w:bottom="1474" w:left="1984" w:header="720" w:footer="720" w:gutter="0"/>
          <w:pgNumType w:fmt="numberInDash"/>
          <w:cols w:space="0" w:num="1"/>
          <w:rtlGutter w:val="0"/>
          <w:docGrid w:linePitch="360" w:charSpace="0"/>
        </w:sectPr>
      </w:pPr>
    </w:p>
    <w:p w14:paraId="184D9B07">
      <w:pPr>
        <w:keepNext w:val="0"/>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eastAsia" w:ascii="Times New Roman" w:hAnsi="Times New Roman" w:eastAsia="方正仿宋_GB2312" w:cs="Times New Roman"/>
          <w:b/>
          <w:bCs/>
          <w:sz w:val="32"/>
          <w:szCs w:val="32"/>
          <w:lang w:eastAsia="zh-CN"/>
        </w:rPr>
      </w:pPr>
      <w:r>
        <w:rPr>
          <w:rFonts w:hint="eastAsia" w:ascii="黑体" w:hAnsi="黑体" w:eastAsia="黑体" w:cs="黑体"/>
          <w:b/>
          <w:bCs/>
          <w:sz w:val="32"/>
          <w:szCs w:val="32"/>
          <w:lang w:eastAsia="zh-CN"/>
        </w:rPr>
        <w:t>检查规则。</w:t>
      </w:r>
      <w:r>
        <w:rPr>
          <w:rFonts w:hint="eastAsia" w:ascii="Times New Roman" w:hAnsi="Times New Roman" w:eastAsia="方正仿宋_GB2312" w:cs="Times New Roman"/>
          <w:b/>
          <w:bCs/>
          <w:sz w:val="32"/>
          <w:szCs w:val="32"/>
          <w:lang w:eastAsia="zh-CN"/>
        </w:rPr>
        <w:t xml:space="preserve"> 本检查表分</w:t>
      </w:r>
      <w:r>
        <w:rPr>
          <w:rFonts w:hint="eastAsia" w:ascii="Times New Roman" w:hAnsi="Times New Roman" w:eastAsia="方正仿宋_GB2312" w:cs="Times New Roman"/>
          <w:b/>
          <w:bCs/>
          <w:sz w:val="32"/>
          <w:szCs w:val="32"/>
          <w:lang w:val="en-US" w:eastAsia="zh-CN"/>
        </w:rPr>
        <w:t>10</w:t>
      </w:r>
      <w:r>
        <w:rPr>
          <w:rFonts w:hint="eastAsia" w:ascii="Times New Roman" w:hAnsi="Times New Roman" w:eastAsia="方正仿宋_GB2312" w:cs="Times New Roman"/>
          <w:b/>
          <w:bCs/>
          <w:sz w:val="32"/>
          <w:szCs w:val="32"/>
          <w:lang w:eastAsia="zh-CN"/>
        </w:rPr>
        <w:t>个大项，共设评定项目</w:t>
      </w:r>
      <w:r>
        <w:rPr>
          <w:rFonts w:hint="eastAsia" w:ascii="Times New Roman" w:hAnsi="Times New Roman" w:eastAsia="方正仿宋_GB2312" w:cs="Times New Roman"/>
          <w:b/>
          <w:bCs/>
          <w:sz w:val="32"/>
          <w:szCs w:val="32"/>
          <w:lang w:val="en-US" w:eastAsia="zh-CN"/>
        </w:rPr>
        <w:t>34</w:t>
      </w:r>
      <w:r>
        <w:rPr>
          <w:rFonts w:hint="eastAsia" w:ascii="Times New Roman" w:hAnsi="Times New Roman" w:eastAsia="方正仿宋_GB2312" w:cs="Times New Roman"/>
          <w:b/>
          <w:bCs/>
          <w:sz w:val="32"/>
          <w:szCs w:val="32"/>
          <w:lang w:eastAsia="zh-CN"/>
        </w:rPr>
        <w:t>款，其中关键项目</w:t>
      </w:r>
      <w:r>
        <w:rPr>
          <w:rFonts w:hint="eastAsia" w:ascii="Times New Roman" w:hAnsi="Times New Roman" w:eastAsia="方正仿宋_GB2312" w:cs="Times New Roman"/>
          <w:b/>
          <w:bCs/>
          <w:sz w:val="32"/>
          <w:szCs w:val="32"/>
          <w:lang w:val="en-US" w:eastAsia="zh-CN"/>
        </w:rPr>
        <w:t>7</w:t>
      </w:r>
      <w:r>
        <w:rPr>
          <w:rFonts w:hint="eastAsia" w:ascii="Times New Roman" w:hAnsi="Times New Roman" w:eastAsia="方正仿宋_GB2312" w:cs="Times New Roman"/>
          <w:b/>
          <w:bCs/>
          <w:sz w:val="32"/>
          <w:szCs w:val="32"/>
          <w:lang w:eastAsia="zh-CN"/>
        </w:rPr>
        <w:t>*款。检查中发现不符合要求的项目统称缺陷项目，其中关键项目不符合要求者称为严重缺陷；一般项目不符合要求者称为一般缺陷。</w:t>
      </w:r>
    </w:p>
    <w:p w14:paraId="0009A5BE">
      <w:pPr>
        <w:keepNext w:val="0"/>
        <w:keepLines w:val="0"/>
        <w:pageBreakBefore w:val="0"/>
        <w:widowControl/>
        <w:kinsoku/>
        <w:wordWrap w:val="0"/>
        <w:overflowPunct/>
        <w:topLinePunct w:val="0"/>
        <w:autoSpaceDE/>
        <w:autoSpaceDN/>
        <w:bidi w:val="0"/>
        <w:adjustRightInd/>
        <w:snapToGrid/>
        <w:spacing w:after="0" w:line="578" w:lineRule="exact"/>
        <w:ind w:left="0" w:firstLine="643" w:firstLineChars="200"/>
        <w:textAlignment w:val="auto"/>
        <w:rPr>
          <w:rFonts w:hint="eastAsia" w:ascii="黑体" w:hAnsi="黑体" w:eastAsia="黑体" w:cs="黑体"/>
          <w:b/>
          <w:bCs/>
          <w:sz w:val="32"/>
          <w:szCs w:val="32"/>
          <w:lang w:eastAsia="zh-CN"/>
        </w:rPr>
      </w:pPr>
      <w:r>
        <w:rPr>
          <w:rFonts w:hint="eastAsia" w:ascii="黑体" w:hAnsi="黑体" w:eastAsia="黑体" w:cs="黑体"/>
          <w:b/>
          <w:bCs/>
          <w:sz w:val="32"/>
          <w:szCs w:val="32"/>
          <w:lang w:eastAsia="zh-CN"/>
        </w:rPr>
        <w:t>结果评定。</w:t>
      </w:r>
    </w:p>
    <w:tbl>
      <w:tblPr>
        <w:tblStyle w:val="13"/>
        <w:tblW w:w="8100"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3"/>
        <w:gridCol w:w="2085"/>
        <w:gridCol w:w="3782"/>
      </w:tblGrid>
      <w:tr w14:paraId="7349C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318" w:type="dxa"/>
            <w:gridSpan w:val="2"/>
            <w:vAlign w:val="center"/>
          </w:tcPr>
          <w:p w14:paraId="5C5B118A">
            <w:pPr>
              <w:keepNext w:val="0"/>
              <w:keepLines w:val="0"/>
              <w:pageBreakBefore w:val="0"/>
              <w:widowControl w:val="0"/>
              <w:suppressLineNumbers w:val="0"/>
              <w:kinsoku/>
              <w:overflowPunct/>
              <w:autoSpaceDE/>
              <w:autoSpaceDN/>
              <w:bidi w:val="0"/>
              <w:adjustRightInd/>
              <w:spacing w:before="0" w:beforeAutospacing="0" w:after="0" w:afterAutospacing="0" w:line="240" w:lineRule="auto"/>
              <w:ind w:left="0" w:right="0"/>
              <w:jc w:val="center"/>
              <w:textAlignment w:val="auto"/>
              <w:rPr>
                <w:rFonts w:hint="eastAsia" w:ascii="仿宋_GB2312" w:hAnsi="仿宋_GB2312" w:eastAsia="仿宋_GB2312" w:cs="仿宋_GB2312"/>
                <w:b/>
                <w:bCs/>
                <w:kern w:val="2"/>
                <w:sz w:val="28"/>
                <w:szCs w:val="28"/>
                <w:highlight w:val="none"/>
                <w:lang w:eastAsia="zh-CN"/>
              </w:rPr>
            </w:pPr>
            <w:r>
              <w:rPr>
                <w:rFonts w:hint="eastAsia" w:ascii="仿宋_GB2312" w:hAnsi="仿宋_GB2312" w:eastAsia="仿宋_GB2312" w:cs="仿宋_GB2312"/>
                <w:b/>
                <w:bCs/>
                <w:kern w:val="2"/>
                <w:sz w:val="28"/>
                <w:szCs w:val="28"/>
                <w:highlight w:val="none"/>
                <w:lang w:eastAsia="zh-CN"/>
              </w:rPr>
              <w:t>缺陷项目</w:t>
            </w:r>
          </w:p>
        </w:tc>
        <w:tc>
          <w:tcPr>
            <w:tcW w:w="3782" w:type="dxa"/>
            <w:vMerge w:val="restart"/>
            <w:vAlign w:val="center"/>
          </w:tcPr>
          <w:p w14:paraId="27774906">
            <w:pPr>
              <w:keepNext w:val="0"/>
              <w:keepLines w:val="0"/>
              <w:pageBreakBefore w:val="0"/>
              <w:widowControl w:val="0"/>
              <w:suppressLineNumbers w:val="0"/>
              <w:kinsoku/>
              <w:overflowPunct/>
              <w:autoSpaceDE/>
              <w:autoSpaceDN/>
              <w:bidi w:val="0"/>
              <w:adjustRightInd/>
              <w:spacing w:before="0" w:beforeAutospacing="0" w:after="0" w:afterAutospacing="0" w:line="240" w:lineRule="auto"/>
              <w:ind w:left="0" w:right="0"/>
              <w:jc w:val="center"/>
              <w:textAlignment w:val="auto"/>
              <w:rPr>
                <w:rFonts w:hint="eastAsia" w:ascii="仿宋_GB2312" w:hAnsi="仿宋_GB2312" w:eastAsia="仿宋_GB2312" w:cs="仿宋_GB2312"/>
                <w:b/>
                <w:bCs/>
                <w:kern w:val="2"/>
                <w:sz w:val="24"/>
                <w:szCs w:val="24"/>
                <w:highlight w:val="none"/>
                <w:lang w:eastAsia="zh-CN"/>
              </w:rPr>
            </w:pPr>
            <w:r>
              <w:rPr>
                <w:rFonts w:hint="eastAsia" w:ascii="仿宋_GB2312" w:hAnsi="仿宋_GB2312" w:eastAsia="仿宋_GB2312" w:cs="仿宋_GB2312"/>
                <w:b/>
                <w:bCs/>
                <w:kern w:val="2"/>
                <w:sz w:val="28"/>
                <w:szCs w:val="28"/>
                <w:highlight w:val="none"/>
                <w:lang w:eastAsia="zh-CN"/>
              </w:rPr>
              <w:t>结果</w:t>
            </w:r>
          </w:p>
        </w:tc>
      </w:tr>
      <w:tr w14:paraId="682FB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2233" w:type="dxa"/>
            <w:vAlign w:val="center"/>
          </w:tcPr>
          <w:p w14:paraId="0749344F">
            <w:pPr>
              <w:keepNext w:val="0"/>
              <w:keepLines w:val="0"/>
              <w:pageBreakBefore w:val="0"/>
              <w:widowControl w:val="0"/>
              <w:suppressLineNumbers w:val="0"/>
              <w:kinsoku/>
              <w:overflowPunct/>
              <w:autoSpaceDE/>
              <w:autoSpaceDN/>
              <w:bidi w:val="0"/>
              <w:adjustRightInd/>
              <w:spacing w:before="0" w:beforeAutospacing="0" w:after="0" w:afterAutospacing="0" w:line="240" w:lineRule="auto"/>
              <w:ind w:left="0" w:right="0"/>
              <w:jc w:val="center"/>
              <w:textAlignment w:val="auto"/>
              <w:rPr>
                <w:rFonts w:hint="eastAsia" w:ascii="仿宋_GB2312" w:hAnsi="仿宋_GB2312" w:eastAsia="仿宋_GB2312" w:cs="仿宋_GB2312"/>
                <w:b/>
                <w:bCs/>
                <w:kern w:val="2"/>
                <w:sz w:val="28"/>
                <w:szCs w:val="28"/>
                <w:highlight w:val="none"/>
                <w:lang w:eastAsia="zh-CN"/>
              </w:rPr>
            </w:pPr>
            <w:r>
              <w:rPr>
                <w:rFonts w:hint="eastAsia" w:ascii="仿宋_GB2312" w:hAnsi="仿宋_GB2312" w:eastAsia="仿宋_GB2312" w:cs="仿宋_GB2312"/>
                <w:b/>
                <w:bCs/>
                <w:kern w:val="2"/>
                <w:sz w:val="28"/>
                <w:szCs w:val="28"/>
                <w:highlight w:val="none"/>
                <w:lang w:eastAsia="zh-CN"/>
              </w:rPr>
              <w:t>严重缺陷</w:t>
            </w:r>
          </w:p>
        </w:tc>
        <w:tc>
          <w:tcPr>
            <w:tcW w:w="2085" w:type="dxa"/>
            <w:vAlign w:val="center"/>
          </w:tcPr>
          <w:p w14:paraId="1ABC8535">
            <w:pPr>
              <w:keepNext w:val="0"/>
              <w:keepLines w:val="0"/>
              <w:pageBreakBefore w:val="0"/>
              <w:widowControl w:val="0"/>
              <w:suppressLineNumbers w:val="0"/>
              <w:kinsoku/>
              <w:overflowPunct/>
              <w:autoSpaceDE/>
              <w:autoSpaceDN/>
              <w:bidi w:val="0"/>
              <w:adjustRightInd/>
              <w:spacing w:before="0" w:beforeAutospacing="0" w:after="0" w:afterAutospacing="0" w:line="240" w:lineRule="auto"/>
              <w:ind w:left="0" w:right="0"/>
              <w:jc w:val="center"/>
              <w:textAlignment w:val="auto"/>
              <w:rPr>
                <w:rFonts w:hint="eastAsia" w:ascii="仿宋_GB2312" w:hAnsi="仿宋_GB2312" w:eastAsia="仿宋_GB2312" w:cs="仿宋_GB2312"/>
                <w:b/>
                <w:bCs/>
                <w:kern w:val="2"/>
                <w:sz w:val="28"/>
                <w:szCs w:val="28"/>
                <w:highlight w:val="none"/>
                <w:lang w:eastAsia="zh-CN"/>
              </w:rPr>
            </w:pPr>
            <w:r>
              <w:rPr>
                <w:rFonts w:hint="eastAsia" w:ascii="仿宋_GB2312" w:hAnsi="仿宋_GB2312" w:eastAsia="仿宋_GB2312" w:cs="仿宋_GB2312"/>
                <w:b/>
                <w:bCs/>
                <w:kern w:val="2"/>
                <w:sz w:val="28"/>
                <w:szCs w:val="28"/>
                <w:highlight w:val="none"/>
                <w:lang w:eastAsia="zh-CN"/>
              </w:rPr>
              <w:t>一般缺陷</w:t>
            </w:r>
          </w:p>
        </w:tc>
        <w:tc>
          <w:tcPr>
            <w:tcW w:w="3782" w:type="dxa"/>
            <w:vMerge w:val="continue"/>
            <w:vAlign w:val="center"/>
          </w:tcPr>
          <w:p w14:paraId="36F88122">
            <w:pPr>
              <w:keepNext w:val="0"/>
              <w:keepLines w:val="0"/>
              <w:pageBreakBefore w:val="0"/>
              <w:widowControl w:val="0"/>
              <w:suppressLineNumbers w:val="0"/>
              <w:kinsoku/>
              <w:overflowPunct/>
              <w:autoSpaceDE/>
              <w:autoSpaceDN/>
              <w:bidi w:val="0"/>
              <w:adjustRightInd/>
              <w:spacing w:before="0" w:beforeAutospacing="0" w:after="0" w:afterAutospacing="0" w:line="240" w:lineRule="auto"/>
              <w:ind w:left="0" w:right="0"/>
              <w:jc w:val="both"/>
              <w:textAlignment w:val="auto"/>
              <w:rPr>
                <w:rFonts w:hint="eastAsia" w:ascii="仿宋_GB2312" w:hAnsi="仿宋_GB2312" w:eastAsia="仿宋_GB2312" w:cs="仿宋_GB2312"/>
                <w:b/>
                <w:bCs/>
                <w:kern w:val="2"/>
                <w:sz w:val="24"/>
                <w:szCs w:val="24"/>
                <w:highlight w:val="none"/>
                <w:lang w:eastAsia="zh-CN"/>
              </w:rPr>
            </w:pPr>
          </w:p>
        </w:tc>
      </w:tr>
      <w:tr w14:paraId="298C9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2233" w:type="dxa"/>
            <w:vAlign w:val="center"/>
          </w:tcPr>
          <w:p w14:paraId="00DC5A96">
            <w:pPr>
              <w:keepNext w:val="0"/>
              <w:keepLines w:val="0"/>
              <w:pageBreakBefore w:val="0"/>
              <w:widowControl w:val="0"/>
              <w:suppressLineNumbers w:val="0"/>
              <w:kinsoku/>
              <w:overflowPunct/>
              <w:autoSpaceDE/>
              <w:autoSpaceDN/>
              <w:bidi w:val="0"/>
              <w:adjustRightInd/>
              <w:spacing w:before="0" w:beforeAutospacing="0" w:after="0" w:afterAutospacing="0" w:line="240" w:lineRule="auto"/>
              <w:ind w:left="0" w:right="0"/>
              <w:jc w:val="center"/>
              <w:textAlignment w:val="auto"/>
              <w:rPr>
                <w:rFonts w:hint="eastAsia" w:ascii="仿宋_GB2312" w:hAnsi="仿宋_GB2312" w:eastAsia="仿宋_GB2312" w:cs="仿宋_GB2312"/>
                <w:b/>
                <w:bCs/>
                <w:kern w:val="2"/>
                <w:sz w:val="24"/>
                <w:szCs w:val="24"/>
                <w:highlight w:val="none"/>
                <w:lang w:eastAsia="zh-CN"/>
              </w:rPr>
            </w:pPr>
          </w:p>
        </w:tc>
        <w:tc>
          <w:tcPr>
            <w:tcW w:w="2085" w:type="dxa"/>
            <w:vAlign w:val="center"/>
          </w:tcPr>
          <w:p w14:paraId="625E3934">
            <w:pPr>
              <w:keepNext w:val="0"/>
              <w:keepLines w:val="0"/>
              <w:pageBreakBefore w:val="0"/>
              <w:widowControl w:val="0"/>
              <w:suppressLineNumbers w:val="0"/>
              <w:kinsoku/>
              <w:overflowPunct/>
              <w:autoSpaceDE/>
              <w:autoSpaceDN/>
              <w:bidi w:val="0"/>
              <w:adjustRightInd/>
              <w:spacing w:before="0" w:beforeAutospacing="0" w:after="0" w:afterAutospacing="0" w:line="240" w:lineRule="auto"/>
              <w:ind w:left="0" w:right="0"/>
              <w:jc w:val="center"/>
              <w:textAlignment w:val="auto"/>
              <w:rPr>
                <w:rFonts w:hint="default" w:ascii="仿宋_GB2312" w:hAnsi="仿宋_GB2312" w:eastAsia="仿宋_GB2312" w:cs="仿宋_GB2312"/>
                <w:b/>
                <w:bCs/>
                <w:kern w:val="2"/>
                <w:sz w:val="24"/>
                <w:szCs w:val="24"/>
                <w:highlight w:val="none"/>
                <w:lang w:val="en-US" w:eastAsia="zh-CN"/>
              </w:rPr>
            </w:pPr>
            <w:r>
              <w:rPr>
                <w:rFonts w:hint="eastAsia" w:ascii="仿宋_GB2312" w:hAnsi="仿宋_GB2312" w:eastAsia="仿宋_GB2312" w:cs="仿宋_GB2312"/>
                <w:b/>
                <w:bCs/>
                <w:kern w:val="2"/>
                <w:sz w:val="24"/>
                <w:szCs w:val="24"/>
                <w:highlight w:val="none"/>
                <w:lang w:val="en-US" w:eastAsia="zh-CN"/>
              </w:rPr>
              <w:t>≤5</w:t>
            </w:r>
          </w:p>
        </w:tc>
        <w:tc>
          <w:tcPr>
            <w:tcW w:w="3782" w:type="dxa"/>
            <w:vAlign w:val="center"/>
          </w:tcPr>
          <w:p w14:paraId="7E502384">
            <w:pPr>
              <w:keepNext w:val="0"/>
              <w:keepLines w:val="0"/>
              <w:pageBreakBefore w:val="0"/>
              <w:widowControl w:val="0"/>
              <w:suppressLineNumbers w:val="0"/>
              <w:kinsoku/>
              <w:overflowPunct/>
              <w:autoSpaceDE/>
              <w:autoSpaceDN/>
              <w:bidi w:val="0"/>
              <w:adjustRightInd/>
              <w:spacing w:before="0" w:beforeAutospacing="0" w:after="0" w:afterAutospacing="0" w:line="240" w:lineRule="auto"/>
              <w:ind w:left="0" w:right="0"/>
              <w:jc w:val="center"/>
              <w:textAlignment w:val="auto"/>
              <w:rPr>
                <w:rFonts w:hint="default" w:ascii="仿宋_GB2312" w:hAnsi="仿宋_GB2312" w:eastAsia="仿宋_GB2312" w:cs="仿宋_GB2312"/>
                <w:b/>
                <w:bCs/>
                <w:kern w:val="2"/>
                <w:sz w:val="24"/>
                <w:szCs w:val="24"/>
                <w:highlight w:val="none"/>
                <w:lang w:val="en-US" w:eastAsia="zh-CN"/>
              </w:rPr>
            </w:pPr>
            <w:r>
              <w:rPr>
                <w:rFonts w:hint="eastAsia" w:ascii="仿宋_GB2312" w:hAnsi="仿宋_GB2312" w:eastAsia="仿宋_GB2312" w:cs="仿宋_GB2312"/>
                <w:b/>
                <w:bCs/>
                <w:kern w:val="2"/>
                <w:sz w:val="24"/>
                <w:szCs w:val="24"/>
                <w:highlight w:val="none"/>
                <w:lang w:eastAsia="zh-CN"/>
              </w:rPr>
              <w:t>通过现场检查</w:t>
            </w:r>
          </w:p>
        </w:tc>
      </w:tr>
      <w:tr w14:paraId="3881D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2233" w:type="dxa"/>
            <w:vAlign w:val="center"/>
          </w:tcPr>
          <w:p w14:paraId="014D34C0">
            <w:pPr>
              <w:keepNext w:val="0"/>
              <w:keepLines w:val="0"/>
              <w:pageBreakBefore w:val="0"/>
              <w:widowControl w:val="0"/>
              <w:suppressLineNumbers w:val="0"/>
              <w:kinsoku/>
              <w:overflowPunct/>
              <w:autoSpaceDE/>
              <w:autoSpaceDN/>
              <w:bidi w:val="0"/>
              <w:adjustRightInd/>
              <w:spacing w:before="0" w:beforeAutospacing="0" w:after="0" w:afterAutospacing="0" w:line="240" w:lineRule="auto"/>
              <w:ind w:left="0" w:right="0"/>
              <w:jc w:val="center"/>
              <w:textAlignment w:val="auto"/>
              <w:rPr>
                <w:rFonts w:hint="eastAsia" w:ascii="仿宋_GB2312" w:hAnsi="仿宋_GB2312" w:eastAsia="仿宋_GB2312" w:cs="仿宋_GB2312"/>
                <w:b/>
                <w:bCs/>
                <w:kern w:val="2"/>
                <w:sz w:val="24"/>
                <w:szCs w:val="24"/>
                <w:highlight w:val="none"/>
                <w:lang w:eastAsia="zh-CN"/>
              </w:rPr>
            </w:pPr>
          </w:p>
        </w:tc>
        <w:tc>
          <w:tcPr>
            <w:tcW w:w="2085" w:type="dxa"/>
            <w:vAlign w:val="center"/>
          </w:tcPr>
          <w:p w14:paraId="4C8114F6">
            <w:pPr>
              <w:keepNext w:val="0"/>
              <w:keepLines w:val="0"/>
              <w:pageBreakBefore w:val="0"/>
              <w:widowControl w:val="0"/>
              <w:suppressLineNumbers w:val="0"/>
              <w:kinsoku/>
              <w:overflowPunct/>
              <w:autoSpaceDE/>
              <w:autoSpaceDN/>
              <w:bidi w:val="0"/>
              <w:adjustRightInd/>
              <w:spacing w:before="0" w:beforeAutospacing="0" w:after="0" w:afterAutospacing="0" w:line="240" w:lineRule="auto"/>
              <w:ind w:left="0" w:right="0"/>
              <w:jc w:val="center"/>
              <w:textAlignment w:val="auto"/>
              <w:rPr>
                <w:rFonts w:hint="default" w:ascii="仿宋_GB2312" w:hAnsi="仿宋_GB2312" w:eastAsia="仿宋_GB2312" w:cs="仿宋_GB2312"/>
                <w:b/>
                <w:bCs/>
                <w:kern w:val="2"/>
                <w:sz w:val="24"/>
                <w:szCs w:val="24"/>
                <w:highlight w:val="none"/>
                <w:lang w:val="en-US" w:eastAsia="zh-CN"/>
              </w:rPr>
            </w:pPr>
            <w:r>
              <w:rPr>
                <w:rFonts w:hint="eastAsia" w:ascii="仿宋_GB2312" w:hAnsi="仿宋_GB2312" w:eastAsia="仿宋_GB2312" w:cs="仿宋_GB2312"/>
                <w:b/>
                <w:bCs/>
                <w:kern w:val="2"/>
                <w:sz w:val="24"/>
                <w:szCs w:val="24"/>
                <w:highlight w:val="none"/>
                <w:lang w:eastAsia="zh-CN"/>
              </w:rPr>
              <w:t>＞</w:t>
            </w:r>
            <w:r>
              <w:rPr>
                <w:rFonts w:hint="eastAsia" w:ascii="仿宋_GB2312" w:hAnsi="仿宋_GB2312" w:eastAsia="仿宋_GB2312" w:cs="仿宋_GB2312"/>
                <w:b/>
                <w:bCs/>
                <w:kern w:val="2"/>
                <w:sz w:val="24"/>
                <w:szCs w:val="24"/>
                <w:highlight w:val="none"/>
                <w:lang w:val="en-US" w:eastAsia="zh-CN"/>
              </w:rPr>
              <w:t>5且</w:t>
            </w:r>
            <w:r>
              <w:rPr>
                <w:rFonts w:hint="eastAsia" w:ascii="仿宋_GB2312" w:hAnsi="仿宋_GB2312" w:eastAsia="仿宋_GB2312" w:cs="仿宋_GB2312"/>
                <w:b/>
                <w:bCs/>
                <w:kern w:val="2"/>
                <w:sz w:val="24"/>
                <w:szCs w:val="24"/>
                <w:highlight w:val="none"/>
                <w:lang w:eastAsia="zh-CN"/>
              </w:rPr>
              <w:t>≤</w:t>
            </w:r>
            <w:r>
              <w:rPr>
                <w:rFonts w:hint="eastAsia" w:ascii="仿宋_GB2312" w:hAnsi="仿宋_GB2312" w:eastAsia="仿宋_GB2312" w:cs="仿宋_GB2312"/>
                <w:b/>
                <w:bCs/>
                <w:kern w:val="2"/>
                <w:sz w:val="24"/>
                <w:szCs w:val="24"/>
                <w:highlight w:val="none"/>
                <w:lang w:val="en-US" w:eastAsia="zh-CN"/>
              </w:rPr>
              <w:t>9</w:t>
            </w:r>
          </w:p>
        </w:tc>
        <w:tc>
          <w:tcPr>
            <w:tcW w:w="3782" w:type="dxa"/>
            <w:vAlign w:val="center"/>
          </w:tcPr>
          <w:p w14:paraId="219F59C3">
            <w:pPr>
              <w:keepNext w:val="0"/>
              <w:keepLines w:val="0"/>
              <w:pageBreakBefore w:val="0"/>
              <w:widowControl w:val="0"/>
              <w:suppressLineNumbers w:val="0"/>
              <w:kinsoku/>
              <w:overflowPunct/>
              <w:autoSpaceDE/>
              <w:autoSpaceDN/>
              <w:bidi w:val="0"/>
              <w:adjustRightInd/>
              <w:spacing w:before="0" w:beforeAutospacing="0" w:after="0" w:afterAutospacing="0" w:line="240" w:lineRule="auto"/>
              <w:ind w:left="0" w:right="0"/>
              <w:jc w:val="center"/>
              <w:textAlignment w:val="auto"/>
              <w:rPr>
                <w:rFonts w:hint="eastAsia" w:ascii="仿宋_GB2312" w:hAnsi="仿宋_GB2312" w:eastAsia="仿宋_GB2312" w:cs="仿宋_GB2312"/>
                <w:b/>
                <w:bCs/>
                <w:kern w:val="2"/>
                <w:sz w:val="24"/>
                <w:szCs w:val="24"/>
                <w:highlight w:val="none"/>
                <w:lang w:eastAsia="zh-CN"/>
              </w:rPr>
            </w:pPr>
            <w:r>
              <w:rPr>
                <w:rFonts w:hint="eastAsia" w:ascii="仿宋_GB2312" w:hAnsi="仿宋_GB2312" w:eastAsia="仿宋_GB2312" w:cs="仿宋_GB2312"/>
                <w:b/>
                <w:bCs/>
                <w:color w:val="000000"/>
                <w:kern w:val="2"/>
                <w:sz w:val="24"/>
                <w:szCs w:val="24"/>
                <w:highlight w:val="none"/>
                <w:lang w:eastAsia="zh-CN"/>
              </w:rPr>
              <w:t>完</w:t>
            </w:r>
            <w:r>
              <w:rPr>
                <w:rFonts w:hint="eastAsia" w:ascii="仿宋_GB2312" w:hAnsi="仿宋_GB2312" w:eastAsia="仿宋_GB2312" w:cs="仿宋_GB2312"/>
                <w:b/>
                <w:bCs/>
                <w:kern w:val="2"/>
                <w:sz w:val="24"/>
                <w:szCs w:val="24"/>
                <w:highlight w:val="none"/>
                <w:lang w:eastAsia="zh-CN"/>
              </w:rPr>
              <w:t>成整改后通过现场检查</w:t>
            </w:r>
          </w:p>
        </w:tc>
      </w:tr>
      <w:tr w14:paraId="00B38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2233" w:type="dxa"/>
            <w:vAlign w:val="center"/>
          </w:tcPr>
          <w:p w14:paraId="6DFAFA0D">
            <w:pPr>
              <w:keepNext w:val="0"/>
              <w:keepLines w:val="0"/>
              <w:pageBreakBefore w:val="0"/>
              <w:widowControl w:val="0"/>
              <w:suppressLineNumbers w:val="0"/>
              <w:kinsoku/>
              <w:overflowPunct/>
              <w:autoSpaceDE/>
              <w:autoSpaceDN/>
              <w:bidi w:val="0"/>
              <w:adjustRightInd/>
              <w:spacing w:before="0" w:beforeAutospacing="0" w:after="0" w:afterAutospacing="0" w:line="240" w:lineRule="auto"/>
              <w:ind w:left="0" w:right="0"/>
              <w:jc w:val="center"/>
              <w:textAlignment w:val="auto"/>
              <w:rPr>
                <w:rFonts w:hint="eastAsia" w:ascii="仿宋_GB2312" w:hAnsi="仿宋_GB2312" w:eastAsia="仿宋_GB2312" w:cs="仿宋_GB2312"/>
                <w:b/>
                <w:bCs/>
                <w:kern w:val="2"/>
                <w:sz w:val="24"/>
                <w:szCs w:val="24"/>
                <w:highlight w:val="none"/>
                <w:lang w:val="en-US" w:eastAsia="zh-CN"/>
              </w:rPr>
            </w:pPr>
          </w:p>
        </w:tc>
        <w:tc>
          <w:tcPr>
            <w:tcW w:w="2085" w:type="dxa"/>
            <w:vAlign w:val="center"/>
          </w:tcPr>
          <w:p w14:paraId="664BB2D2">
            <w:pPr>
              <w:keepNext w:val="0"/>
              <w:keepLines w:val="0"/>
              <w:pageBreakBefore w:val="0"/>
              <w:widowControl w:val="0"/>
              <w:suppressLineNumbers w:val="0"/>
              <w:kinsoku/>
              <w:overflowPunct/>
              <w:autoSpaceDE/>
              <w:autoSpaceDN/>
              <w:bidi w:val="0"/>
              <w:adjustRightInd/>
              <w:spacing w:before="0" w:beforeAutospacing="0" w:after="0" w:afterAutospacing="0" w:line="240" w:lineRule="auto"/>
              <w:ind w:left="0" w:right="0"/>
              <w:jc w:val="center"/>
              <w:textAlignment w:val="auto"/>
              <w:rPr>
                <w:rFonts w:hint="default" w:ascii="仿宋_GB2312" w:hAnsi="仿宋_GB2312" w:eastAsia="仿宋_GB2312" w:cs="仿宋_GB2312"/>
                <w:b/>
                <w:bCs/>
                <w:kern w:val="2"/>
                <w:sz w:val="24"/>
                <w:szCs w:val="24"/>
                <w:highlight w:val="none"/>
                <w:lang w:val="en-US" w:eastAsia="zh-CN"/>
              </w:rPr>
            </w:pPr>
            <w:r>
              <w:rPr>
                <w:rFonts w:hint="eastAsia" w:ascii="仿宋_GB2312" w:hAnsi="仿宋_GB2312" w:eastAsia="仿宋_GB2312" w:cs="仿宋_GB2312"/>
                <w:b/>
                <w:bCs/>
                <w:kern w:val="2"/>
                <w:sz w:val="24"/>
                <w:szCs w:val="24"/>
                <w:highlight w:val="none"/>
                <w:lang w:eastAsia="zh-CN"/>
              </w:rPr>
              <w:t>&gt;</w:t>
            </w:r>
            <w:r>
              <w:rPr>
                <w:rFonts w:hint="eastAsia" w:ascii="仿宋_GB2312" w:hAnsi="仿宋_GB2312" w:eastAsia="仿宋_GB2312" w:cs="仿宋_GB2312"/>
                <w:b/>
                <w:bCs/>
                <w:kern w:val="2"/>
                <w:sz w:val="24"/>
                <w:szCs w:val="24"/>
                <w:highlight w:val="none"/>
                <w:lang w:val="en-US" w:eastAsia="zh-CN"/>
              </w:rPr>
              <w:t>9</w:t>
            </w:r>
          </w:p>
        </w:tc>
        <w:tc>
          <w:tcPr>
            <w:tcW w:w="3782" w:type="dxa"/>
            <w:vMerge w:val="restart"/>
            <w:vAlign w:val="center"/>
          </w:tcPr>
          <w:p w14:paraId="200001DA">
            <w:pPr>
              <w:keepNext w:val="0"/>
              <w:keepLines w:val="0"/>
              <w:pageBreakBefore w:val="0"/>
              <w:widowControl w:val="0"/>
              <w:suppressLineNumbers w:val="0"/>
              <w:kinsoku/>
              <w:overflowPunct/>
              <w:autoSpaceDE/>
              <w:autoSpaceDN/>
              <w:bidi w:val="0"/>
              <w:adjustRightInd/>
              <w:spacing w:before="0" w:beforeAutospacing="0" w:after="0" w:afterAutospacing="0" w:line="240" w:lineRule="auto"/>
              <w:ind w:left="0" w:right="0"/>
              <w:jc w:val="center"/>
              <w:textAlignment w:val="auto"/>
              <w:rPr>
                <w:rFonts w:hint="eastAsia" w:ascii="仿宋_GB2312" w:hAnsi="仿宋_GB2312" w:eastAsia="仿宋_GB2312" w:cs="仿宋_GB2312"/>
                <w:b/>
                <w:bCs/>
                <w:kern w:val="2"/>
                <w:sz w:val="24"/>
                <w:szCs w:val="24"/>
                <w:highlight w:val="none"/>
                <w:lang w:eastAsia="zh-CN"/>
              </w:rPr>
            </w:pPr>
            <w:r>
              <w:rPr>
                <w:rFonts w:hint="eastAsia" w:ascii="仿宋_GB2312" w:hAnsi="仿宋_GB2312" w:eastAsia="仿宋_GB2312" w:cs="仿宋_GB2312"/>
                <w:b/>
                <w:bCs/>
                <w:kern w:val="2"/>
                <w:sz w:val="24"/>
                <w:szCs w:val="24"/>
                <w:highlight w:val="none"/>
                <w:lang w:eastAsia="zh-CN"/>
              </w:rPr>
              <w:t>不通过现场检查</w:t>
            </w:r>
          </w:p>
        </w:tc>
      </w:tr>
      <w:tr w14:paraId="0041A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233" w:type="dxa"/>
            <w:vAlign w:val="center"/>
          </w:tcPr>
          <w:p w14:paraId="41E9036B">
            <w:pPr>
              <w:keepNext w:val="0"/>
              <w:keepLines w:val="0"/>
              <w:pageBreakBefore w:val="0"/>
              <w:widowControl w:val="0"/>
              <w:suppressLineNumbers w:val="0"/>
              <w:kinsoku/>
              <w:overflowPunct/>
              <w:autoSpaceDE/>
              <w:autoSpaceDN/>
              <w:bidi w:val="0"/>
              <w:adjustRightInd/>
              <w:spacing w:before="0" w:beforeAutospacing="0" w:after="0" w:afterAutospacing="0" w:line="240" w:lineRule="auto"/>
              <w:ind w:left="0" w:right="0"/>
              <w:jc w:val="center"/>
              <w:textAlignment w:val="auto"/>
              <w:rPr>
                <w:rFonts w:hint="default" w:ascii="仿宋_GB2312" w:hAnsi="仿宋_GB2312" w:eastAsia="仿宋_GB2312" w:cs="仿宋_GB2312"/>
                <w:b/>
                <w:bCs/>
                <w:kern w:val="2"/>
                <w:sz w:val="24"/>
                <w:szCs w:val="24"/>
                <w:highlight w:val="none"/>
                <w:lang w:val="en-US" w:eastAsia="zh-CN"/>
              </w:rPr>
            </w:pPr>
            <w:r>
              <w:rPr>
                <w:rFonts w:hint="eastAsia" w:ascii="东文宋体" w:hAnsi="东文宋体" w:eastAsia="东文宋体" w:cs="东文宋体"/>
                <w:b/>
                <w:bCs/>
                <w:kern w:val="2"/>
                <w:sz w:val="24"/>
                <w:szCs w:val="24"/>
                <w:highlight w:val="none"/>
                <w:lang w:val="en-US" w:eastAsia="zh-CN"/>
              </w:rPr>
              <w:t>≥1</w:t>
            </w:r>
          </w:p>
        </w:tc>
        <w:tc>
          <w:tcPr>
            <w:tcW w:w="2085" w:type="dxa"/>
            <w:vAlign w:val="center"/>
          </w:tcPr>
          <w:p w14:paraId="5295A201">
            <w:pPr>
              <w:keepNext w:val="0"/>
              <w:keepLines w:val="0"/>
              <w:pageBreakBefore w:val="0"/>
              <w:widowControl w:val="0"/>
              <w:suppressLineNumbers w:val="0"/>
              <w:kinsoku/>
              <w:overflowPunct/>
              <w:autoSpaceDE/>
              <w:autoSpaceDN/>
              <w:bidi w:val="0"/>
              <w:adjustRightInd/>
              <w:spacing w:before="0" w:beforeAutospacing="0" w:after="0" w:afterAutospacing="0" w:line="240" w:lineRule="auto"/>
              <w:ind w:left="0" w:right="0"/>
              <w:jc w:val="center"/>
              <w:textAlignment w:val="auto"/>
              <w:rPr>
                <w:rFonts w:hint="eastAsia" w:ascii="仿宋_GB2312" w:hAnsi="仿宋_GB2312" w:eastAsia="仿宋_GB2312" w:cs="仿宋_GB2312"/>
                <w:b/>
                <w:bCs/>
                <w:kern w:val="2"/>
                <w:sz w:val="24"/>
                <w:szCs w:val="24"/>
                <w:highlight w:val="none"/>
                <w:lang w:eastAsia="zh-CN"/>
              </w:rPr>
            </w:pPr>
          </w:p>
        </w:tc>
        <w:tc>
          <w:tcPr>
            <w:tcW w:w="3782" w:type="dxa"/>
            <w:vMerge w:val="continue"/>
            <w:vAlign w:val="center"/>
          </w:tcPr>
          <w:p w14:paraId="7A79A84E">
            <w:pPr>
              <w:keepNext w:val="0"/>
              <w:keepLines w:val="0"/>
              <w:pageBreakBefore w:val="0"/>
              <w:widowControl w:val="0"/>
              <w:suppressLineNumbers w:val="0"/>
              <w:kinsoku/>
              <w:overflowPunct/>
              <w:autoSpaceDE/>
              <w:autoSpaceDN/>
              <w:bidi w:val="0"/>
              <w:adjustRightInd/>
              <w:spacing w:before="0" w:beforeAutospacing="0" w:after="0" w:afterAutospacing="0" w:line="240" w:lineRule="auto"/>
              <w:ind w:left="0" w:right="0"/>
              <w:jc w:val="both"/>
              <w:textAlignment w:val="auto"/>
              <w:rPr>
                <w:rFonts w:hint="eastAsia" w:ascii="仿宋_GB2312" w:hAnsi="仿宋_GB2312" w:eastAsia="仿宋_GB2312" w:cs="仿宋_GB2312"/>
                <w:b/>
                <w:bCs/>
                <w:kern w:val="2"/>
                <w:sz w:val="24"/>
                <w:szCs w:val="24"/>
                <w:highlight w:val="none"/>
                <w:lang w:eastAsia="zh-CN"/>
              </w:rPr>
            </w:pPr>
          </w:p>
        </w:tc>
      </w:tr>
    </w:tbl>
    <w:p w14:paraId="79B5EDA3">
      <w:pPr>
        <w:keepNext w:val="0"/>
        <w:keepLines w:val="0"/>
        <w:pageBreakBefore w:val="0"/>
        <w:widowControl w:val="0"/>
        <w:kinsoku/>
        <w:wordWrap/>
        <w:overflowPunct/>
        <w:topLinePunct w:val="0"/>
        <w:autoSpaceDE/>
        <w:autoSpaceDN/>
        <w:bidi w:val="0"/>
        <w:adjustRightInd/>
        <w:snapToGrid/>
        <w:spacing w:line="578" w:lineRule="exact"/>
        <w:ind w:firstLine="480" w:firstLineChars="200"/>
        <w:jc w:val="both"/>
        <w:textAlignment w:val="auto"/>
        <w:rPr>
          <w:rFonts w:hint="default" w:ascii="Times New Roman" w:hAnsi="Times New Roman" w:eastAsia="方正黑体_GBK" w:cs="Times New Roman"/>
          <w:b w:val="0"/>
          <w:bCs w:val="0"/>
          <w:sz w:val="24"/>
          <w:szCs w:val="32"/>
          <w:lang w:val="en-US" w:eastAsia="zh-CN"/>
        </w:rPr>
      </w:pPr>
    </w:p>
    <w:sectPr>
      <w:footerReference r:id="rId5" w:type="default"/>
      <w:pgSz w:w="11906" w:h="16838"/>
      <w:pgMar w:top="1701" w:right="1474" w:bottom="1134" w:left="1587" w:header="851" w:footer="992" w:gutter="0"/>
      <w:pgBorders>
        <w:top w:val="none" w:sz="0" w:space="0"/>
        <w:left w:val="none" w:sz="0" w:space="0"/>
        <w:bottom w:val="none" w:sz="0" w:space="0"/>
        <w:right w:val="none" w:sz="0" w:space="0"/>
      </w:pgBorders>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ＭＳ ゴシック">
    <w:altName w:val="宋体"/>
    <w:panose1 w:val="00000000000000000000"/>
    <w:charset w:val="80"/>
    <w:family w:val="modern"/>
    <w:pitch w:val="default"/>
    <w:sig w:usb0="00000000" w:usb1="00000000" w:usb2="00000010" w:usb3="00000000" w:csb0="00020000" w:csb1="00000000"/>
  </w:font>
  <w:font w:name="方正楷体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东文宋体">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E9FE3">
    <w:pPr>
      <w:pStyle w:val="9"/>
      <w:tabs>
        <w:tab w:val="left" w:pos="7090"/>
        <w:tab w:val="clear" w:pos="4153"/>
      </w:tabs>
      <w:rPr>
        <w:rFonts w:hint="eastAsia" w:eastAsia="宋体"/>
        <w:lang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9B1DF5">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B9B1DF5">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8279C5">
                          <w:pPr>
                            <w:pStyle w:val="9"/>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58279C5">
                    <w:pPr>
                      <w:pStyle w:val="9"/>
                    </w:pP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DE695">
    <w:pPr>
      <w:widowControl w:val="0"/>
      <w:tabs>
        <w:tab w:val="center" w:pos="4153"/>
        <w:tab w:val="right" w:pos="8306"/>
      </w:tabs>
      <w:snapToGrid w:val="0"/>
      <w:jc w:val="left"/>
      <w:rPr>
        <w:rFonts w:ascii="Calibri" w:hAnsi="Calibri" w:eastAsia="宋体" w:cs="Arial"/>
        <w:kern w:val="2"/>
        <w:sz w:val="18"/>
        <w:szCs w:val="18"/>
        <w:lang w:val="en-US" w:eastAsia="zh-CN" w:bidi="ar-SA"/>
      </w:rPr>
    </w:pPr>
    <w:r>
      <w:rPr>
        <w:rFonts w:ascii="Calibri" w:hAnsi="Calibri" w:eastAsia="宋体" w:cs="Arial"/>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F049E65">
                          <w:pPr>
                            <w:widowControl w:val="0"/>
                            <w:tabs>
                              <w:tab w:val="center" w:pos="4153"/>
                              <w:tab w:val="right" w:pos="8306"/>
                            </w:tabs>
                            <w:snapToGrid w:val="0"/>
                            <w:jc w:val="left"/>
                            <w:rPr>
                              <w:rFonts w:ascii="Times New Roman" w:hAnsi="Times New Roman" w:eastAsia="宋体" w:cs="Times New Roman"/>
                              <w:kern w:val="2"/>
                              <w:sz w:val="28"/>
                              <w:szCs w:val="28"/>
                              <w:lang w:val="en-US" w:eastAsia="zh-CN" w:bidi="ar-SA"/>
                            </w:rPr>
                          </w:pPr>
                          <w:r>
                            <w:rPr>
                              <w:rFonts w:ascii="Times New Roman" w:hAnsi="Times New Roman" w:eastAsia="宋体" w:cs="Times New Roman"/>
                              <w:kern w:val="2"/>
                              <w:sz w:val="28"/>
                              <w:szCs w:val="28"/>
                              <w:lang w:val="en-US" w:eastAsia="zh-CN" w:bidi="ar-SA"/>
                            </w:rPr>
                            <w:t xml:space="preserve">— </w:t>
                          </w:r>
                          <w:r>
                            <w:rPr>
                              <w:rFonts w:ascii="Times New Roman" w:hAnsi="Times New Roman" w:eastAsia="宋体" w:cs="Times New Roman"/>
                              <w:kern w:val="2"/>
                              <w:sz w:val="28"/>
                              <w:szCs w:val="28"/>
                              <w:lang w:val="en-US" w:eastAsia="zh-CN" w:bidi="ar-SA"/>
                            </w:rPr>
                            <w:fldChar w:fldCharType="begin"/>
                          </w:r>
                          <w:r>
                            <w:rPr>
                              <w:rFonts w:ascii="Times New Roman" w:hAnsi="Times New Roman" w:eastAsia="宋体" w:cs="Times New Roman"/>
                              <w:kern w:val="2"/>
                              <w:sz w:val="28"/>
                              <w:szCs w:val="28"/>
                              <w:lang w:val="en-US" w:eastAsia="zh-CN" w:bidi="ar-SA"/>
                            </w:rPr>
                            <w:instrText xml:space="preserve"> PAGE  \* MERGEFORMAT </w:instrText>
                          </w:r>
                          <w:r>
                            <w:rPr>
                              <w:rFonts w:ascii="Times New Roman" w:hAnsi="Times New Roman" w:eastAsia="宋体" w:cs="Times New Roman"/>
                              <w:kern w:val="2"/>
                              <w:sz w:val="28"/>
                              <w:szCs w:val="28"/>
                              <w:lang w:val="en-US" w:eastAsia="zh-CN" w:bidi="ar-SA"/>
                            </w:rPr>
                            <w:fldChar w:fldCharType="separate"/>
                          </w:r>
                          <w:r>
                            <w:rPr>
                              <w:rFonts w:ascii="Times New Roman" w:hAnsi="Times New Roman" w:eastAsia="宋体" w:cs="Times New Roman"/>
                              <w:kern w:val="2"/>
                              <w:sz w:val="28"/>
                              <w:szCs w:val="28"/>
                              <w:lang w:val="en-US" w:eastAsia="zh-CN" w:bidi="ar-SA"/>
                            </w:rPr>
                            <w:t>45</w:t>
                          </w:r>
                          <w:r>
                            <w:rPr>
                              <w:rFonts w:ascii="Times New Roman" w:hAnsi="Times New Roman" w:eastAsia="宋体" w:cs="Times New Roman"/>
                              <w:kern w:val="2"/>
                              <w:sz w:val="28"/>
                              <w:szCs w:val="28"/>
                              <w:lang w:val="en-US" w:eastAsia="zh-CN" w:bidi="ar-SA"/>
                            </w:rPr>
                            <w:fldChar w:fldCharType="end"/>
                          </w:r>
                          <w:r>
                            <w:rPr>
                              <w:rFonts w:ascii="Times New Roman" w:hAnsi="Times New Roman" w:eastAsia="宋体" w:cs="Times New Roman"/>
                              <w:kern w:val="2"/>
                              <w:sz w:val="28"/>
                              <w:szCs w:val="28"/>
                              <w:lang w:val="en-US" w:eastAsia="zh-CN" w:bidi="ar-SA"/>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Kux4zAgAAZ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vr8bpwcUDcKljrEjT0MNESl3p0Qrt&#10;ru157kxxAk1nuknxlm9qlLJlPtwzh9FA+ViecIdPKQ1Smt6ipDLu67/uYzw6Bi8lDUYtpxqbRYn8&#10;oNFJAIbBcIOxGwx9ULcGszvBUlqeTDxwQQ5m6Yz6go1axRxwMc2RKadhMG9DN+7YSC5WqxSE2bMs&#10;bPWD5RE6yuPt6hAgZ1I5itIpge7EA6Yv9anflDjef55T1NO/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QKux4zAgAAZQQAAA4AAAAAAAAAAQAgAAAAHwEAAGRycy9lMm9Eb2MueG1sUEsF&#10;BgAAAAAGAAYAWQEAAMQFAAAAAA==&#10;">
              <v:fill on="f" focussize="0,0"/>
              <v:stroke on="f" weight="0.5pt"/>
              <v:imagedata o:title=""/>
              <o:lock v:ext="edit" aspectratio="f"/>
              <v:textbox inset="0mm,0mm,0mm,0mm" style="mso-fit-shape-to-text:t;">
                <w:txbxContent>
                  <w:p w14:paraId="6F049E65">
                    <w:pPr>
                      <w:widowControl w:val="0"/>
                      <w:tabs>
                        <w:tab w:val="center" w:pos="4153"/>
                        <w:tab w:val="right" w:pos="8306"/>
                      </w:tabs>
                      <w:snapToGrid w:val="0"/>
                      <w:jc w:val="left"/>
                      <w:rPr>
                        <w:rFonts w:ascii="Times New Roman" w:hAnsi="Times New Roman" w:eastAsia="宋体" w:cs="Times New Roman"/>
                        <w:kern w:val="2"/>
                        <w:sz w:val="28"/>
                        <w:szCs w:val="28"/>
                        <w:lang w:val="en-US" w:eastAsia="zh-CN" w:bidi="ar-SA"/>
                      </w:rPr>
                    </w:pPr>
                    <w:r>
                      <w:rPr>
                        <w:rFonts w:ascii="Times New Roman" w:hAnsi="Times New Roman" w:eastAsia="宋体" w:cs="Times New Roman"/>
                        <w:kern w:val="2"/>
                        <w:sz w:val="28"/>
                        <w:szCs w:val="28"/>
                        <w:lang w:val="en-US" w:eastAsia="zh-CN" w:bidi="ar-SA"/>
                      </w:rPr>
                      <w:t xml:space="preserve">— </w:t>
                    </w:r>
                    <w:r>
                      <w:rPr>
                        <w:rFonts w:ascii="Times New Roman" w:hAnsi="Times New Roman" w:eastAsia="宋体" w:cs="Times New Roman"/>
                        <w:kern w:val="2"/>
                        <w:sz w:val="28"/>
                        <w:szCs w:val="28"/>
                        <w:lang w:val="en-US" w:eastAsia="zh-CN" w:bidi="ar-SA"/>
                      </w:rPr>
                      <w:fldChar w:fldCharType="begin"/>
                    </w:r>
                    <w:r>
                      <w:rPr>
                        <w:rFonts w:ascii="Times New Roman" w:hAnsi="Times New Roman" w:eastAsia="宋体" w:cs="Times New Roman"/>
                        <w:kern w:val="2"/>
                        <w:sz w:val="28"/>
                        <w:szCs w:val="28"/>
                        <w:lang w:val="en-US" w:eastAsia="zh-CN" w:bidi="ar-SA"/>
                      </w:rPr>
                      <w:instrText xml:space="preserve"> PAGE  \* MERGEFORMAT </w:instrText>
                    </w:r>
                    <w:r>
                      <w:rPr>
                        <w:rFonts w:ascii="Times New Roman" w:hAnsi="Times New Roman" w:eastAsia="宋体" w:cs="Times New Roman"/>
                        <w:kern w:val="2"/>
                        <w:sz w:val="28"/>
                        <w:szCs w:val="28"/>
                        <w:lang w:val="en-US" w:eastAsia="zh-CN" w:bidi="ar-SA"/>
                      </w:rPr>
                      <w:fldChar w:fldCharType="separate"/>
                    </w:r>
                    <w:r>
                      <w:rPr>
                        <w:rFonts w:ascii="Times New Roman" w:hAnsi="Times New Roman" w:eastAsia="宋体" w:cs="Times New Roman"/>
                        <w:kern w:val="2"/>
                        <w:sz w:val="28"/>
                        <w:szCs w:val="28"/>
                        <w:lang w:val="en-US" w:eastAsia="zh-CN" w:bidi="ar-SA"/>
                      </w:rPr>
                      <w:t>45</w:t>
                    </w:r>
                    <w:r>
                      <w:rPr>
                        <w:rFonts w:ascii="Times New Roman" w:hAnsi="Times New Roman" w:eastAsia="宋体" w:cs="Times New Roman"/>
                        <w:kern w:val="2"/>
                        <w:sz w:val="28"/>
                        <w:szCs w:val="28"/>
                        <w:lang w:val="en-US" w:eastAsia="zh-CN" w:bidi="ar-SA"/>
                      </w:rPr>
                      <w:fldChar w:fldCharType="end"/>
                    </w:r>
                    <w:r>
                      <w:rPr>
                        <w:rFonts w:ascii="Times New Roman" w:hAnsi="Times New Roman" w:eastAsia="宋体" w:cs="Times New Roman"/>
                        <w:kern w:val="2"/>
                        <w:sz w:val="28"/>
                        <w:szCs w:val="28"/>
                        <w:lang w:val="en-US" w:eastAsia="zh-CN" w:bidi="ar-SA"/>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5B013">
    <w:pPr>
      <w:pStyle w:val="9"/>
      <w:spacing w:beforeLines="0" w:afterLines="0"/>
      <w:rPr>
        <w:rFonts w:hint="default"/>
        <w:sz w:val="18"/>
        <w:szCs w:val="24"/>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400841">
                          <w:pPr>
                            <w:pStyle w:val="9"/>
                            <w:rPr>
                              <w:rFonts w:hint="default" w:ascii="Times New Roman" w:hAnsi="Times New Roman" w:cs="Times New Roman"/>
                              <w:sz w:val="28"/>
                              <w:szCs w:val="44"/>
                            </w:rPr>
                          </w:pP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1</w:t>
                          </w:r>
                          <w:r>
                            <w:rPr>
                              <w:rFonts w:hint="default" w:ascii="Times New Roman" w:hAnsi="Times New Roman" w:cs="Times New Roman"/>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C400841">
                    <w:pPr>
                      <w:pStyle w:val="9"/>
                      <w:rPr>
                        <w:rFonts w:hint="default" w:ascii="Times New Roman" w:hAnsi="Times New Roman" w:cs="Times New Roman"/>
                        <w:sz w:val="28"/>
                        <w:szCs w:val="44"/>
                      </w:rPr>
                    </w:pP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1</w:t>
                    </w:r>
                    <w:r>
                      <w:rPr>
                        <w:rFonts w:hint="default" w:ascii="Times New Roman" w:hAnsi="Times New Roman" w:cs="Times New Roman"/>
                        <w:sz w:val="28"/>
                        <w:szCs w:val="4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6FF83"/>
    <w:multiLevelType w:val="singleLevel"/>
    <w:tmpl w:val="DBF6FF83"/>
    <w:lvl w:ilvl="0" w:tentative="0">
      <w:start w:val="1"/>
      <w:numFmt w:val="decimal"/>
      <w:pStyle w:val="6"/>
      <w:lvlText w:val="%1."/>
      <w:lvlJc w:val="left"/>
      <w:pPr>
        <w:tabs>
          <w:tab w:val="left" w:pos="360"/>
        </w:tabs>
        <w:ind w:left="360" w:hanging="360"/>
      </w:pPr>
    </w:lvl>
  </w:abstractNum>
  <w:abstractNum w:abstractNumId="1">
    <w:nsid w:val="FF7EB97D"/>
    <w:multiLevelType w:val="singleLevel"/>
    <w:tmpl w:val="FF7EB97D"/>
    <w:lvl w:ilvl="0" w:tentative="0">
      <w:start w:val="2"/>
      <w:numFmt w:val="decimal"/>
      <w:suff w:val="space"/>
      <w:lvlText w:val="%1."/>
      <w:lvlJc w:val="left"/>
      <w:pPr>
        <w:ind w:left="1600"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gutterAtTop/>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DB1CF48"/>
    <w:rsid w:val="1E7656D0"/>
    <w:rsid w:val="1EDF3D61"/>
    <w:rsid w:val="1FFF7751"/>
    <w:rsid w:val="2DD5F25A"/>
    <w:rsid w:val="2EBD711F"/>
    <w:rsid w:val="2F77CE0D"/>
    <w:rsid w:val="33FF97E6"/>
    <w:rsid w:val="3A2A66E8"/>
    <w:rsid w:val="3B630A7B"/>
    <w:rsid w:val="3BBC282F"/>
    <w:rsid w:val="3CDF77EB"/>
    <w:rsid w:val="3E27FF91"/>
    <w:rsid w:val="3E7D0D06"/>
    <w:rsid w:val="3EDF1CDC"/>
    <w:rsid w:val="3EDFDB01"/>
    <w:rsid w:val="3F0EBC4A"/>
    <w:rsid w:val="475C8618"/>
    <w:rsid w:val="4BFD31EB"/>
    <w:rsid w:val="4DBE648C"/>
    <w:rsid w:val="4EA5876A"/>
    <w:rsid w:val="557FDF04"/>
    <w:rsid w:val="57852795"/>
    <w:rsid w:val="57DBB8BD"/>
    <w:rsid w:val="5ADB8E2F"/>
    <w:rsid w:val="5DEB9A33"/>
    <w:rsid w:val="5E7735E1"/>
    <w:rsid w:val="5E7F8871"/>
    <w:rsid w:val="5FBF15C1"/>
    <w:rsid w:val="627FB685"/>
    <w:rsid w:val="66FEC50D"/>
    <w:rsid w:val="6CF67F35"/>
    <w:rsid w:val="6DB926AC"/>
    <w:rsid w:val="6DBD36AE"/>
    <w:rsid w:val="6DCFF2AE"/>
    <w:rsid w:val="6F2F4D79"/>
    <w:rsid w:val="6F7FAE79"/>
    <w:rsid w:val="6F9DBBCC"/>
    <w:rsid w:val="6FBD5F81"/>
    <w:rsid w:val="6FEEE909"/>
    <w:rsid w:val="6FFF68EF"/>
    <w:rsid w:val="6FFFE7FD"/>
    <w:rsid w:val="75F7035E"/>
    <w:rsid w:val="75F7AD6E"/>
    <w:rsid w:val="75FECE49"/>
    <w:rsid w:val="75FF86BE"/>
    <w:rsid w:val="767F18B9"/>
    <w:rsid w:val="76F63FC6"/>
    <w:rsid w:val="76FF5F14"/>
    <w:rsid w:val="771DC6E4"/>
    <w:rsid w:val="777FFCE9"/>
    <w:rsid w:val="77E91579"/>
    <w:rsid w:val="77EF0C5A"/>
    <w:rsid w:val="77FC0241"/>
    <w:rsid w:val="77FC2103"/>
    <w:rsid w:val="78DF62DE"/>
    <w:rsid w:val="79F4F73C"/>
    <w:rsid w:val="7AAB7B87"/>
    <w:rsid w:val="7ABFE92F"/>
    <w:rsid w:val="7B3A4AF3"/>
    <w:rsid w:val="7B6DF2DD"/>
    <w:rsid w:val="7B7C6CFA"/>
    <w:rsid w:val="7BF1AD48"/>
    <w:rsid w:val="7C3D211A"/>
    <w:rsid w:val="7CEF75E4"/>
    <w:rsid w:val="7D3FE8C7"/>
    <w:rsid w:val="7DBB4201"/>
    <w:rsid w:val="7DDB905C"/>
    <w:rsid w:val="7DF75EB1"/>
    <w:rsid w:val="7EF2F99D"/>
    <w:rsid w:val="7EFDA5BB"/>
    <w:rsid w:val="7F5F3C9A"/>
    <w:rsid w:val="7F791F0A"/>
    <w:rsid w:val="7F7B8255"/>
    <w:rsid w:val="7F9EBDA7"/>
    <w:rsid w:val="7FB93FFE"/>
    <w:rsid w:val="7FBDA176"/>
    <w:rsid w:val="7FBE3A8A"/>
    <w:rsid w:val="7FEF1F94"/>
    <w:rsid w:val="7FFD01B7"/>
    <w:rsid w:val="7FFE5D83"/>
    <w:rsid w:val="8BEDA4B2"/>
    <w:rsid w:val="8DFF1723"/>
    <w:rsid w:val="8E9DF7BA"/>
    <w:rsid w:val="93EA77F9"/>
    <w:rsid w:val="97F92F74"/>
    <w:rsid w:val="9DE6E40D"/>
    <w:rsid w:val="9F1C05EE"/>
    <w:rsid w:val="9F5FC3A4"/>
    <w:rsid w:val="9FF99936"/>
    <w:rsid w:val="9FFFC1B5"/>
    <w:rsid w:val="A3DBABE6"/>
    <w:rsid w:val="A9B94EC2"/>
    <w:rsid w:val="AB75A07F"/>
    <w:rsid w:val="ABDF707C"/>
    <w:rsid w:val="AE7CFB33"/>
    <w:rsid w:val="AFCF4736"/>
    <w:rsid w:val="B1F3301C"/>
    <w:rsid w:val="B5FF00DF"/>
    <w:rsid w:val="B67F0DC1"/>
    <w:rsid w:val="B6D3B6BD"/>
    <w:rsid w:val="B6FF1FF1"/>
    <w:rsid w:val="B7FA22E6"/>
    <w:rsid w:val="BB7FB58B"/>
    <w:rsid w:val="BB8DAE4A"/>
    <w:rsid w:val="BD5E5533"/>
    <w:rsid w:val="BF7F6D3F"/>
    <w:rsid w:val="BFDFFB27"/>
    <w:rsid w:val="BFFF8860"/>
    <w:rsid w:val="CD2F1774"/>
    <w:rsid w:val="CFCA87FF"/>
    <w:rsid w:val="CFF90707"/>
    <w:rsid w:val="D5B1BA7B"/>
    <w:rsid w:val="D7BFE8D0"/>
    <w:rsid w:val="D7DFFE31"/>
    <w:rsid w:val="D9BF5CE2"/>
    <w:rsid w:val="DADF4E5A"/>
    <w:rsid w:val="DB7D6202"/>
    <w:rsid w:val="DEBFE22A"/>
    <w:rsid w:val="DEF7DDFC"/>
    <w:rsid w:val="DFAF9BBB"/>
    <w:rsid w:val="DFDFF5EA"/>
    <w:rsid w:val="DFEE9F30"/>
    <w:rsid w:val="DFF79454"/>
    <w:rsid w:val="DFFFD6DB"/>
    <w:rsid w:val="E35BF5B9"/>
    <w:rsid w:val="E8B7A1A1"/>
    <w:rsid w:val="EB57BD49"/>
    <w:rsid w:val="ECF7F9E0"/>
    <w:rsid w:val="ECFA9569"/>
    <w:rsid w:val="EDF77516"/>
    <w:rsid w:val="EE7FDE7E"/>
    <w:rsid w:val="EF379F49"/>
    <w:rsid w:val="EFADE05C"/>
    <w:rsid w:val="EFEFD236"/>
    <w:rsid w:val="F1E625E0"/>
    <w:rsid w:val="F29F3613"/>
    <w:rsid w:val="F2F53826"/>
    <w:rsid w:val="F374F52D"/>
    <w:rsid w:val="F38A0239"/>
    <w:rsid w:val="F3FE28C1"/>
    <w:rsid w:val="F42CF537"/>
    <w:rsid w:val="F4FF2AD9"/>
    <w:rsid w:val="F60C22AF"/>
    <w:rsid w:val="F73F430E"/>
    <w:rsid w:val="F77E5227"/>
    <w:rsid w:val="F7DA034D"/>
    <w:rsid w:val="F8F74DAC"/>
    <w:rsid w:val="F97F3037"/>
    <w:rsid w:val="F9FFE7E9"/>
    <w:rsid w:val="FB63DEE5"/>
    <w:rsid w:val="FBF798A8"/>
    <w:rsid w:val="FCEB0BF8"/>
    <w:rsid w:val="FD1FC601"/>
    <w:rsid w:val="FD653725"/>
    <w:rsid w:val="FDFEECA0"/>
    <w:rsid w:val="FE6F2634"/>
    <w:rsid w:val="FE7784B2"/>
    <w:rsid w:val="FE7D1FC5"/>
    <w:rsid w:val="FE89F4C6"/>
    <w:rsid w:val="FF794D23"/>
    <w:rsid w:val="FF7D8F2B"/>
    <w:rsid w:val="FF7F941D"/>
    <w:rsid w:val="FFA7E9D1"/>
    <w:rsid w:val="FFB53F1C"/>
    <w:rsid w:val="FFBF390F"/>
    <w:rsid w:val="FFC58DFB"/>
    <w:rsid w:val="FFDBBFE1"/>
    <w:rsid w:val="FFEDBA00"/>
    <w:rsid w:val="FFEFA82C"/>
    <w:rsid w:val="FFFDA0D9"/>
    <w:rsid w:val="FFFE02A3"/>
    <w:rsid w:val="FFFE07DD"/>
    <w:rsid w:val="FFFFE61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keepNext/>
      <w:keepLines/>
      <w:spacing w:before="480" w:after="0"/>
      <w:outlineLvl w:val="0"/>
    </w:pPr>
    <w:rPr>
      <w:rFonts w:ascii="Calibri" w:hAnsi="Calibri" w:eastAsia="ＭＳ ゴシック" w:cs="Times New Roman"/>
      <w:b/>
      <w:bCs/>
      <w:color w:val="366091"/>
      <w:sz w:val="28"/>
      <w:szCs w:val="28"/>
    </w:rPr>
  </w:style>
  <w:style w:type="paragraph" w:styleId="4">
    <w:name w:val="heading 2"/>
    <w:basedOn w:val="1"/>
    <w:next w:val="1"/>
    <w:unhideWhenUsed/>
    <w:qFormat/>
    <w:uiPriority w:val="9"/>
    <w:pPr>
      <w:keepNext/>
      <w:keepLines/>
      <w:spacing w:before="200" w:after="0"/>
      <w:outlineLvl w:val="1"/>
    </w:pPr>
    <w:rPr>
      <w:rFonts w:ascii="Calibri" w:hAnsi="Calibri" w:eastAsia="ＭＳ ゴシック" w:cs="Times New Roman"/>
      <w:b/>
      <w:bCs/>
      <w:color w:val="4F81BD"/>
      <w:sz w:val="26"/>
      <w:szCs w:val="26"/>
    </w:rPr>
  </w:style>
  <w:style w:type="paragraph" w:styleId="5">
    <w:name w:val="heading 3"/>
    <w:basedOn w:val="1"/>
    <w:next w:val="1"/>
    <w:unhideWhenUsed/>
    <w:qFormat/>
    <w:uiPriority w:val="0"/>
    <w:pPr>
      <w:keepNext w:val="0"/>
      <w:keepLines w:val="0"/>
      <w:adjustRightInd w:val="0"/>
      <w:spacing w:beforeLines="0" w:beforeAutospacing="0" w:afterLines="0" w:afterAutospacing="0" w:line="240" w:lineRule="auto"/>
      <w:ind w:firstLine="632" w:firstLineChars="200"/>
      <w:outlineLvl w:val="2"/>
    </w:pPr>
    <w:rPr>
      <w:rFonts w:eastAsia="方正楷体_GBK"/>
    </w:rPr>
  </w:style>
  <w:style w:type="character" w:default="1" w:styleId="15">
    <w:name w:val="Default Paragraph Font"/>
    <w:semiHidden/>
    <w:qFormat/>
    <w:uiPriority w:val="0"/>
  </w:style>
  <w:style w:type="table" w:default="1" w:styleId="1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qFormat/>
    <w:uiPriority w:val="0"/>
    <w:pPr>
      <w:spacing w:before="0" w:after="140" w:line="276" w:lineRule="auto"/>
    </w:pPr>
  </w:style>
  <w:style w:type="paragraph" w:styleId="6">
    <w:name w:val="List Number"/>
    <w:basedOn w:val="1"/>
    <w:qFormat/>
    <w:uiPriority w:val="0"/>
    <w:pPr>
      <w:numPr>
        <w:ilvl w:val="0"/>
        <w:numId w:val="1"/>
      </w:numPr>
    </w:pPr>
  </w:style>
  <w:style w:type="paragraph" w:styleId="7">
    <w:name w:val="Normal Indent"/>
    <w:basedOn w:val="1"/>
    <w:qFormat/>
    <w:uiPriority w:val="0"/>
    <w:pPr>
      <w:ind w:firstLine="200" w:firstLineChars="200"/>
    </w:pPr>
  </w:style>
  <w:style w:type="paragraph" w:styleId="8">
    <w:name w:val="Body Text Indent 2"/>
    <w:basedOn w:val="1"/>
    <w:next w:val="1"/>
    <w:qFormat/>
    <w:uiPriority w:val="0"/>
    <w:pPr>
      <w:spacing w:before="100" w:line="500" w:lineRule="exact"/>
      <w:ind w:firstLine="200" w:firstLineChars="200"/>
    </w:pPr>
    <w:rPr>
      <w:rFonts w:ascii="楷体_GB2312" w:hAnsi="楷体_GB2312" w:eastAsia="宋体"/>
      <w:b/>
      <w:bCs/>
      <w:sz w:val="36"/>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4">
    <w:name w:val="Table Grid"/>
    <w:basedOn w:val="13"/>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paragraph" w:customStyle="1" w:styleId="18">
    <w:name w:val="WPSOffice手动目录 1"/>
    <w:qFormat/>
    <w:uiPriority w:val="0"/>
    <w:pPr>
      <w:ind w:leftChars="0"/>
    </w:pPr>
    <w:rPr>
      <w:rFonts w:ascii="Calibri" w:hAnsi="Calibri" w:eastAsia="宋体" w:cs="Times New Roman"/>
      <w:sz w:val="20"/>
      <w:szCs w:val="20"/>
    </w:rPr>
  </w:style>
  <w:style w:type="character" w:customStyle="1" w:styleId="19">
    <w:name w:val="NormalCharacter"/>
    <w:autoRedefine/>
    <w:semiHidden/>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7183</Words>
  <Characters>7889</Characters>
  <Lines>1</Lines>
  <Paragraphs>1</Paragraphs>
  <TotalTime>41</TotalTime>
  <ScaleCrop>false</ScaleCrop>
  <LinksUpToDate>false</LinksUpToDate>
  <CharactersWithSpaces>8845</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2025-12-04T14:15:00Z</dcterms:created>
  <dc:creator>S.</dc:creator>
  <cp:lastModifiedBy>uer</cp:lastModifiedBy>
  <cp:lastPrinted>2026-09-19T03:35:00Z</cp:lastPrinted>
  <dcterms:modified xsi:type="dcterms:W3CDTF">2026-09-18T14:29:18Z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5C8DB7041725A4DCF4A6AC6AAE1A8D85_43</vt:lpwstr>
  </property>
  <property fmtid="{D5CDD505-2E9C-101B-9397-08002B2CF9AE}" pid="4" name="KSOTemplateDocerSaveRecord">
    <vt:lpwstr>eyJoZGlkIjoiYjkyZmNhZmMwYTRkMzdjNDc0ZDBiODA4ZTNmNjg2YzYiLCJ1c2VySWQiOiIzMTI4NzMzMTkifQ==</vt:lpwstr>
  </property>
</Properties>
</file>