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245" w:lineRule="auto"/>
      </w:pPr>
    </w:p>
    <w:p>
      <w:pPr>
        <w:pStyle w:val="3"/>
        <w:spacing w:line="245" w:lineRule="auto"/>
      </w:pPr>
    </w:p>
    <w:p>
      <w:pPr>
        <w:pStyle w:val="3"/>
        <w:spacing w:line="245" w:lineRule="auto"/>
      </w:pPr>
    </w:p>
    <w:p>
      <w:pPr>
        <w:pStyle w:val="3"/>
        <w:spacing w:line="245" w:lineRule="auto"/>
      </w:pPr>
    </w:p>
    <w:p>
      <w:pPr>
        <w:pStyle w:val="3"/>
        <w:spacing w:line="245" w:lineRule="auto"/>
      </w:pPr>
    </w:p>
    <w:p>
      <w:pPr>
        <w:pStyle w:val="3"/>
        <w:spacing w:line="245" w:lineRule="auto"/>
      </w:pPr>
    </w:p>
    <w:p>
      <w:pPr>
        <w:pStyle w:val="3"/>
        <w:spacing w:line="245" w:lineRule="auto"/>
      </w:pPr>
    </w:p>
    <w:p>
      <w:pPr>
        <w:pStyle w:val="3"/>
        <w:spacing w:line="245" w:lineRule="auto"/>
      </w:pPr>
    </w:p>
    <w:p>
      <w:pPr>
        <w:pStyle w:val="3"/>
        <w:spacing w:line="245" w:lineRule="auto"/>
      </w:pPr>
    </w:p>
    <w:p>
      <w:pPr>
        <w:spacing w:before="231" w:line="187" w:lineRule="auto"/>
        <w:ind w:left="650"/>
        <w:rPr>
          <w:rFonts w:hint="eastAsia" w:ascii="微软雅黑" w:hAnsi="微软雅黑" w:eastAsia="微软雅黑" w:cs="微软雅黑"/>
          <w:color w:val="231F20"/>
          <w:spacing w:val="17"/>
          <w:sz w:val="52"/>
          <w:szCs w:val="52"/>
          <w:lang w:val="en-US" w:eastAsia="zh-CN"/>
        </w:rPr>
      </w:pPr>
      <w:r>
        <w:rPr>
          <w:rFonts w:hint="eastAsia" w:ascii="微软雅黑" w:hAnsi="微软雅黑" w:eastAsia="微软雅黑" w:cs="微软雅黑"/>
          <w:color w:val="231F20"/>
          <w:spacing w:val="17"/>
          <w:sz w:val="52"/>
          <w:szCs w:val="52"/>
          <w:lang w:val="en-US" w:eastAsia="zh-CN"/>
        </w:rPr>
        <w:t>宁夏中药材产地鲜切生产加工标准</w:t>
      </w:r>
    </w:p>
    <w:p>
      <w:pPr>
        <w:pStyle w:val="3"/>
        <w:spacing w:line="283" w:lineRule="auto"/>
      </w:pPr>
    </w:p>
    <w:p>
      <w:pPr>
        <w:pStyle w:val="3"/>
        <w:spacing w:line="244" w:lineRule="auto"/>
      </w:pPr>
    </w:p>
    <w:p>
      <w:pPr>
        <w:pStyle w:val="3"/>
        <w:spacing w:line="244" w:lineRule="auto"/>
      </w:pPr>
    </w:p>
    <w:p>
      <w:pPr>
        <w:pStyle w:val="3"/>
        <w:spacing w:line="244" w:lineRule="auto"/>
      </w:pPr>
      <w:r>
        <mc:AlternateContent>
          <mc:Choice Requires="wps">
            <w:drawing>
              <wp:anchor distT="0" distB="0" distL="114300" distR="114300" simplePos="0" relativeHeight="251661312" behindDoc="0" locked="0" layoutInCell="1" allowOverlap="1">
                <wp:simplePos x="0" y="0"/>
                <wp:positionH relativeFrom="column">
                  <wp:posOffset>11430</wp:posOffset>
                </wp:positionH>
                <wp:positionV relativeFrom="paragraph">
                  <wp:posOffset>146685</wp:posOffset>
                </wp:positionV>
                <wp:extent cx="5760085" cy="7620"/>
                <wp:effectExtent l="0" t="0" r="0" b="0"/>
                <wp:wrapNone/>
                <wp:docPr id="2" name="任意多边形 2"/>
                <wp:cNvGraphicFramePr/>
                <a:graphic xmlns:a="http://schemas.openxmlformats.org/drawingml/2006/main">
                  <a:graphicData uri="http://schemas.microsoft.com/office/word/2010/wordprocessingShape">
                    <wps:wsp>
                      <wps:cNvSpPr/>
                      <wps:spPr>
                        <a:xfrm>
                          <a:off x="0" y="0"/>
                          <a:ext cx="5760085" cy="7620"/>
                        </a:xfrm>
                        <a:custGeom>
                          <a:avLst/>
                          <a:gdLst/>
                          <a:ahLst/>
                          <a:cxnLst/>
                          <a:pathLst>
                            <a:path w="9070" h="12">
                              <a:moveTo>
                                <a:pt x="0" y="5"/>
                              </a:moveTo>
                              <a:lnTo>
                                <a:pt x="9070" y="5"/>
                              </a:lnTo>
                            </a:path>
                          </a:pathLst>
                        </a:custGeom>
                        <a:noFill/>
                        <a:ln w="7239" cap="flat" cmpd="sng">
                          <a:solidFill>
                            <a:srgbClr val="231F20"/>
                          </a:solidFill>
                          <a:prstDash val="solid"/>
                          <a:miter lim="400000"/>
                          <a:headEnd type="none" w="med" len="med"/>
                          <a:tailEnd type="none" w="med" len="med"/>
                        </a:ln>
                      </wps:spPr>
                      <wps:bodyPr upright="false"/>
                    </wps:wsp>
                  </a:graphicData>
                </a:graphic>
              </wp:anchor>
            </w:drawing>
          </mc:Choice>
          <mc:Fallback>
            <w:pict>
              <v:shape id="_x0000_s1026" o:spid="_x0000_s1026" o:spt="100" style="position:absolute;left:0pt;margin-left:0.9pt;margin-top:11.55pt;height:0.6pt;width:453.55pt;z-index:251661312;mso-width-relative:page;mso-height-relative:page;" filled="f" stroked="t" coordsize="9070,12" o:gfxdata="UEsFBgAAAAAAAAAAAAAAAAAAAAAAAFBLAwQKAAAAAACHTuJAAAAAAAAAAAAAAAAABAAAAGRycy9Q&#10;SwMEFAAAAAgAh07iQBMXcGrUAAAABwEAAA8AAABkcnMvZG93bnJldi54bWxNjr1OwzAUhXck3sG6&#10;SGzUSYqiNsTpABQxsFBY2Jz4NokaX1u20xaenstEx/Ojc756c7aTOGKIoyMF+SIDgdQ5M1Kv4PNj&#10;e7cCEZMmoydHqOAbI2ya66taV8ad6B2Pu9QLHqFYaQVDSr6SMnYDWh0XziNxtnfB6sQy9NIEfeJx&#10;O8kiy0pp9Uj8MGiPjwN2h91sFWxl+HlrzeucvP96ebJlUebPVqnbmzx7AJHwnP7L8IfP6NAwU+tm&#10;MlFMrBk8KSiWOQiO19lqDaJl434JsqnlJX/zC1BLAwQUAAAACACHTuJAJ3TwFywCAABZBAAADgAA&#10;AGRycy9lMm9Eb2MueG1srVTNjhMxDL4j8Q5R7nSms7TdrTrdA6VcEKy0ywOk+ZmJlD8laae9c+fO&#10;EfESaLU8DYt4DJxM/4ALQvSQOrZjf/5sz+x6qxXacB+kNTUeDkqMuKGWSdPU+N3d8tklRiESw4iy&#10;htd4xwO+nj99MuvclFe2tYpxjyCICdPO1biN0U2LItCWaxIG1nEDRmG9JhGuvimYJx1E16qoynJc&#10;dNYz5y3lIYB20RvxPMcXgtP4VojAI1I1Bmwxnz6fq3QW8xmZNp64VtI9DPIPKDSRBpIeQy1IJGjt&#10;5R+htKTeBivigFpdWCEk5bkGqGZY/lbNbUscz7UAOcEdaQr/Lyx9s7nxSLIaVxgZoqFF3+7vv7//&#10;8Pj544+vXx4fPqEqkdS5MAXfW3fj97cAYqp4K7xO/1AL2mZid0di+TYiCsrRZFyWlyOMKNgm4yrz&#10;Xpze0nWIr7jNccjmdYh9W9hBIu1BoltzEB2JSZ1yJxF1Nb4qJ9DkFgaxyt3QdsPvbPaIJ3CjVBBk&#10;P1mVOffqowDSg2NvhhcpT356zA3Kc/DGLqVSGb0yCdGkuriCsgmMtlAkgqgdkB1MkwEGqyRLTxLG&#10;4JvVC+XRhsCwVhfD5ZGnX9ycD3FBQtv7ZVM/xlpG2CUldY2fl+nXq1tO2EvDUNw56K6BNcQJmeYM&#10;I8Vha5OUIUci1d94QtHKAA9pKPoxSNLKsh3M0tp52bSwaIKowDPVyQrzm5nb71pakPN7jnb6Isx/&#10;A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BYAAABkcnMvUEsBAhQAFAAAAAgAh07iQBMXcGrUAAAABwEAAA8AAAAAAAAAAQAgAAAAOAAAAGRy&#10;cy9kb3ducmV2LnhtbFBLAQIUABQAAAAIAIdO4kAndPAXLAIAAFkEAAAOAAAAAAAAAAEAIAAAADkB&#10;AABkcnMvZTJvRG9jLnhtbFBLBQYAAAAABgAGAFkBAADXBQAAAAA=&#10;" path="m0,5l9070,5e">
                <v:fill on="f" focussize="0,0"/>
                <v:stroke weight="0.57pt" color="#231F20" miterlimit="4" joinstyle="miter"/>
                <v:imagedata o:title=""/>
                <o:lock v:ext="edit" aspectratio="f"/>
              </v:shape>
            </w:pict>
          </mc:Fallback>
        </mc:AlternateContent>
      </w:r>
    </w:p>
    <w:p>
      <w:pPr>
        <w:pStyle w:val="3"/>
        <w:spacing w:line="244" w:lineRule="auto"/>
      </w:pPr>
    </w:p>
    <w:p>
      <w:pPr>
        <w:pStyle w:val="3"/>
        <w:spacing w:line="244" w:lineRule="auto"/>
      </w:pPr>
    </w:p>
    <w:p>
      <w:pPr>
        <w:pStyle w:val="3"/>
        <w:spacing w:line="245" w:lineRule="auto"/>
      </w:pPr>
    </w:p>
    <w:p>
      <w:pPr>
        <w:pStyle w:val="3"/>
        <w:spacing w:line="245" w:lineRule="auto"/>
      </w:pPr>
    </w:p>
    <w:p>
      <w:pPr>
        <w:pStyle w:val="3"/>
        <w:spacing w:line="245" w:lineRule="auto"/>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480"/>
        <w:jc w:val="center"/>
        <w:rPr>
          <w:rFonts w:hint="eastAsia" w:ascii="宋体" w:hAnsi="宋体" w:eastAsia="宋体" w:cs="宋体"/>
          <w:b/>
          <w:bCs/>
          <w:color w:val="auto"/>
          <w:sz w:val="36"/>
          <w:szCs w:val="36"/>
          <w:lang w:val="en-US" w:eastAsia="zh-CN"/>
        </w:rPr>
      </w:pPr>
      <w:r>
        <w:rPr>
          <w:rFonts w:hint="eastAsia" w:ascii="宋体" w:hAnsi="宋体" w:eastAsia="宋体" w:cs="宋体"/>
          <w:b/>
          <w:bCs/>
          <w:i w:val="0"/>
          <w:iCs w:val="0"/>
          <w:caps w:val="0"/>
          <w:color w:val="333333"/>
          <w:spacing w:val="0"/>
          <w:sz w:val="36"/>
          <w:szCs w:val="36"/>
          <w:shd w:val="clear" w:fill="FFFFFF"/>
          <w:lang w:val="en-US" w:eastAsia="zh-CN"/>
        </w:rPr>
        <w:t>宁夏产地鲜切</w:t>
      </w:r>
      <w:r>
        <w:rPr>
          <w:rFonts w:hint="eastAsia" w:ascii="宋体" w:hAnsi="宋体" w:eastAsia="宋体" w:cs="宋体"/>
          <w:b/>
          <w:bCs/>
          <w:color w:val="auto"/>
          <w:sz w:val="36"/>
          <w:szCs w:val="36"/>
          <w:lang w:val="en-US" w:eastAsia="zh-CN"/>
        </w:rPr>
        <w:t>药材质量标准编制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480"/>
        <w:jc w:val="center"/>
        <w:rPr>
          <w:rFonts w:hint="eastAsia" w:ascii="宋体" w:hAnsi="宋体" w:eastAsia="宋体" w:cs="宋体"/>
          <w:b/>
          <w:bCs/>
          <w:i w:val="0"/>
          <w:iCs w:val="0"/>
          <w:caps w:val="0"/>
          <w:color w:val="333333"/>
          <w:spacing w:val="0"/>
          <w:sz w:val="36"/>
          <w:szCs w:val="36"/>
          <w:lang w:val="en-US" w:eastAsia="zh-CN"/>
        </w:rPr>
      </w:pPr>
      <w:r>
        <w:rPr>
          <w:rFonts w:hint="eastAsia" w:ascii="宋体" w:hAnsi="宋体" w:eastAsia="宋体" w:cs="宋体"/>
          <w:b/>
          <w:bCs/>
          <w:i w:val="0"/>
          <w:iCs w:val="0"/>
          <w:caps w:val="0"/>
          <w:color w:val="auto"/>
          <w:spacing w:val="0"/>
          <w:sz w:val="36"/>
          <w:szCs w:val="36"/>
          <w:shd w:val="clear" w:fill="FFFFFF"/>
        </w:rPr>
        <w:t>指导原则</w:t>
      </w:r>
      <w:r>
        <w:rPr>
          <w:rFonts w:hint="eastAsia" w:ascii="宋体" w:hAnsi="宋体" w:eastAsia="宋体" w:cs="宋体"/>
          <w:b/>
          <w:bCs/>
          <w:i w:val="0"/>
          <w:iCs w:val="0"/>
          <w:caps w:val="0"/>
          <w:color w:val="auto"/>
          <w:spacing w:val="0"/>
          <w:sz w:val="36"/>
          <w:szCs w:val="36"/>
          <w:shd w:val="clear" w:fill="FFFFFF"/>
          <w:lang w:val="en-US" w:eastAsia="zh-CN"/>
        </w:rPr>
        <w:t>与</w:t>
      </w:r>
      <w:r>
        <w:rPr>
          <w:rFonts w:hint="eastAsia" w:ascii="宋体" w:hAnsi="宋体" w:eastAsia="宋体" w:cs="宋体"/>
          <w:b/>
          <w:bCs/>
          <w:i w:val="0"/>
          <w:iCs w:val="0"/>
          <w:caps w:val="0"/>
          <w:color w:val="333333"/>
          <w:spacing w:val="0"/>
          <w:sz w:val="36"/>
          <w:szCs w:val="36"/>
          <w:shd w:val="clear" w:fill="FFFFFF"/>
          <w:lang w:val="en-US" w:eastAsia="zh-CN"/>
        </w:rPr>
        <w:t>技术要求</w:t>
      </w:r>
    </w:p>
    <w:p>
      <w:pPr>
        <w:pStyle w:val="3"/>
        <w:spacing w:line="248" w:lineRule="auto"/>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480"/>
        <w:jc w:val="center"/>
        <w:rPr>
          <w:rFonts w:hint="eastAsia" w:ascii="宋体" w:hAnsi="宋体" w:eastAsia="宋体" w:cs="宋体"/>
          <w:b/>
          <w:bCs/>
          <w:i w:val="0"/>
          <w:iCs w:val="0"/>
          <w:caps w:val="0"/>
          <w:color w:val="333333"/>
          <w:spacing w:val="0"/>
          <w:sz w:val="30"/>
          <w:szCs w:val="30"/>
          <w:shd w:val="clear" w:fill="FFFFFF"/>
        </w:rPr>
      </w:pPr>
      <w:r>
        <w:rPr>
          <w:rFonts w:hint="eastAsia" w:ascii="宋体" w:hAnsi="宋体" w:eastAsia="宋体" w:cs="宋体"/>
          <w:b/>
          <w:bCs/>
          <w:i w:val="0"/>
          <w:iCs w:val="0"/>
          <w:caps w:val="0"/>
          <w:color w:val="333333"/>
          <w:spacing w:val="0"/>
          <w:sz w:val="30"/>
          <w:szCs w:val="30"/>
          <w:shd w:val="clear" w:fill="FFFFFF"/>
        </w:rPr>
        <w:t>（征求意见稿）</w:t>
      </w:r>
    </w:p>
    <w:p>
      <w:pPr>
        <w:pStyle w:val="3"/>
        <w:spacing w:line="248" w:lineRule="auto"/>
      </w:pPr>
    </w:p>
    <w:p>
      <w:pPr>
        <w:pStyle w:val="3"/>
        <w:spacing w:line="248" w:lineRule="auto"/>
      </w:pPr>
    </w:p>
    <w:p>
      <w:pPr>
        <w:pStyle w:val="3"/>
        <w:spacing w:line="248" w:lineRule="auto"/>
      </w:pPr>
    </w:p>
    <w:p>
      <w:pPr>
        <w:pStyle w:val="3"/>
        <w:spacing w:line="248"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pStyle w:val="3"/>
        <w:spacing w:line="249" w:lineRule="auto"/>
      </w:pPr>
    </w:p>
    <w:p>
      <w:pPr>
        <w:spacing w:before="101" w:line="408" w:lineRule="exact"/>
        <w:ind w:left="62" w:firstLine="1956" w:firstLineChars="600"/>
        <w:rPr>
          <w:rFonts w:ascii="黑体" w:hAnsi="黑体" w:eastAsia="黑体" w:cs="黑体"/>
          <w:sz w:val="31"/>
          <w:szCs w:val="31"/>
        </w:rPr>
      </w:pPr>
      <w:r>
        <w:rPr>
          <w:rFonts w:ascii="黑体" w:hAnsi="黑体" w:eastAsia="黑体" w:cs="黑体"/>
          <w:color w:val="231F20"/>
          <w:spacing w:val="8"/>
          <w:position w:val="1"/>
          <w:sz w:val="31"/>
          <w:szCs w:val="31"/>
        </w:rPr>
        <w:t xml:space="preserve">发布                   </w:t>
      </w:r>
      <w:r>
        <w:rPr>
          <w:rFonts w:ascii="黑体" w:hAnsi="黑体" w:eastAsia="黑体" w:cs="黑体"/>
          <w:color w:val="231F20"/>
          <w:spacing w:val="7"/>
          <w:position w:val="1"/>
          <w:sz w:val="31"/>
          <w:szCs w:val="31"/>
        </w:rPr>
        <w:t xml:space="preserve">        实施</w:t>
      </w:r>
    </w:p>
    <w:p>
      <w:pPr>
        <w:pStyle w:val="3"/>
        <w:spacing w:line="355" w:lineRule="auto"/>
      </w:pPr>
      <w:r>
        <mc:AlternateContent>
          <mc:Choice Requires="wps">
            <w:drawing>
              <wp:anchor distT="0" distB="0" distL="114300" distR="114300" simplePos="0" relativeHeight="251662336" behindDoc="0" locked="0" layoutInCell="1" allowOverlap="1">
                <wp:simplePos x="0" y="0"/>
                <wp:positionH relativeFrom="column">
                  <wp:posOffset>34925</wp:posOffset>
                </wp:positionH>
                <wp:positionV relativeFrom="paragraph">
                  <wp:posOffset>20955</wp:posOffset>
                </wp:positionV>
                <wp:extent cx="5713730" cy="7620"/>
                <wp:effectExtent l="0" t="0" r="0" b="0"/>
                <wp:wrapNone/>
                <wp:docPr id="4" name="任意多边形 4"/>
                <wp:cNvGraphicFramePr/>
                <a:graphic xmlns:a="http://schemas.openxmlformats.org/drawingml/2006/main">
                  <a:graphicData uri="http://schemas.microsoft.com/office/word/2010/wordprocessingShape">
                    <wps:wsp>
                      <wps:cNvSpPr/>
                      <wps:spPr>
                        <a:xfrm>
                          <a:off x="0" y="0"/>
                          <a:ext cx="5713730" cy="7620"/>
                        </a:xfrm>
                        <a:custGeom>
                          <a:avLst/>
                          <a:gdLst/>
                          <a:ahLst/>
                          <a:cxnLst/>
                          <a:pathLst>
                            <a:path w="8997" h="12">
                              <a:moveTo>
                                <a:pt x="0" y="5"/>
                              </a:moveTo>
                              <a:lnTo>
                                <a:pt x="8997" y="5"/>
                              </a:lnTo>
                            </a:path>
                          </a:pathLst>
                        </a:custGeom>
                        <a:noFill/>
                        <a:ln w="7239" cap="flat" cmpd="sng">
                          <a:solidFill>
                            <a:srgbClr val="231F20"/>
                          </a:solidFill>
                          <a:prstDash val="solid"/>
                          <a:miter lim="400000"/>
                          <a:headEnd type="none" w="med" len="med"/>
                          <a:tailEnd type="none" w="med" len="med"/>
                        </a:ln>
                      </wps:spPr>
                      <wps:bodyPr upright="true"/>
                    </wps:wsp>
                  </a:graphicData>
                </a:graphic>
              </wp:anchor>
            </w:drawing>
          </mc:Choice>
          <mc:Fallback>
            <w:pict>
              <v:shape id="_x0000_s1026" o:spid="_x0000_s1026" o:spt="100" style="position:absolute;left:0pt;margin-left:2.75pt;margin-top:1.65pt;height:0.6pt;width:449.9pt;z-index:251662336;mso-width-relative:page;mso-height-relative:page;" filled="f" stroked="t" coordsize="8997,12" o:gfxdata="UEsFBgAAAAAAAAAAAAAAAAAAAAAAAFBLAwQKAAAAAACHTuJAAAAAAAAAAAAAAAAABAAAAGRycy9Q&#10;SwMEFAAAAAgAh07iQGKZxMjTAAAABQEAAA8AAABkcnMvZG93bnJldi54bWxNjjFPwzAUhHck/oP1&#10;kNioXVqjEvJSiUoMiInA0s2NH3Egfg6xm6b/HjPBdqc73X3ldva9mGiMXWCE5UKBIG6C7bhFeH97&#10;utmAiMmwNX1gQjhThG11eVGawoYTv9JUp1bkEY6FQXApDYWUsXHkTVyEgThnH2H0JmU7ttKO5pTH&#10;fS9vlbqT3nScH5wZaOeo+aqPHuG7mc9K7XcvGznV60f3rNX0uUe8vlqqBxCJ5vRXhl/8jA5VZjqE&#10;I9soegStcxFhtQKR03ulszggrDXIqpT/6asfUEsDBBQAAAAIAIdO4kA5OHLvKwIAAFgEAAAOAAAA&#10;ZHJzL2Uyb0RvYy54bWytVM2OEzEMviPxDlHudPqzu91Wne6BUi4IVtrlAdwkMxMpf0rSTnvnzp0j&#10;4iXQCp6GRTwGTqZ/wAUhekgd27E/f7ZndrPVimyED9Kakg56fUqEYZZLU5f07f3y2TUlIYLhoKwR&#10;Jd2JQG/mT5/MWjcVQ9tYxYUnGMSEaetK2sTopkURWCM0hJ51wqCxsl5DxKuvC+6hxehaFcN+/6po&#10;refOWyZCQO2iM9J5jl9VgsU3VRVEJKqkiC3m0+dzlc5iPoNp7cE1ku1hwD+g0CANJj2GWkAEsvby&#10;j1BaMm+DrWKPWV3YqpJM5BqwmkH/t2ruGnAi14LkBHekKfy/sOz15tYTyUt6QYkBjS369vDw/d37&#10;x08ffnz9/PjlI7lIJLUuTNH3zt36/S2gmCreVl6nf6yFbDOxuyOxYhsJQ+XleDAaj5B/hrbx1TDz&#10;XpzesnWIL4XNcWDzKsSuLfwgQXOQ2NYcRAcxqVPuJJK2pNeTyZiSBgdxmLuh7Ubc2+wRT+AuU0GY&#10;/WRV5tyri4JID46dGV+kPPnpMTcqz8Ebu5RKZfTKJETj4WiCZQOOdqUgoqgdkh1MnQEGqyRPTxLG&#10;4OvVc+XJBnBYh6PB8sjTL27Oh7iA0HR+2dSNsZYRd0lJjc3sp1+nbgTwF4aTuHPYXYNrSBMyLTgl&#10;SuDWJilDjiDV33hi0cogD2koujFI0sryHc7S2nlZN7ho0a9FZjoZcXwzcftVS/txfs/BTh+E+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W&#10;AAAAZHJzL1BLAQIUABQAAAAIAIdO4kBimcTI0wAAAAUBAAAPAAAAAAAAAAEAIAAAADgAAABkcnMv&#10;ZG93bnJldi54bWxQSwECFAAUAAAACACHTuJAOThy7ysCAABYBAAADgAAAAAAAAABACAAAAA4AQAA&#10;ZHJzL2Uyb0RvYy54bWxQSwUGAAAAAAYABgBZAQAA1QUAAAAA&#10;" path="m0,5l8997,5e">
                <v:fill on="f" focussize="0,0"/>
                <v:stroke weight="0.57pt" color="#231F20" miterlimit="4" joinstyle="miter"/>
                <v:imagedata o:title=""/>
                <o:lock v:ext="edit" aspectratio="f"/>
              </v:shape>
            </w:pict>
          </mc:Fallback>
        </mc:AlternateContent>
      </w:r>
    </w:p>
    <w:p>
      <w:pPr>
        <w:pStyle w:val="3"/>
        <w:spacing w:line="356" w:lineRule="auto"/>
      </w:pPr>
    </w:p>
    <w:p>
      <w:pPr>
        <w:spacing w:before="100" w:line="241" w:lineRule="auto"/>
        <w:ind w:left="1488" w:firstLine="1470" w:firstLineChars="500"/>
        <w:rPr>
          <w:rFonts w:ascii="黑体" w:hAnsi="黑体" w:eastAsia="黑体" w:cs="黑体"/>
          <w:sz w:val="23"/>
          <w:szCs w:val="23"/>
        </w:rPr>
      </w:pPr>
      <w:r>
        <w:rPr>
          <w:rFonts w:hint="eastAsia" w:ascii="黑体" w:hAnsi="黑体" w:eastAsia="黑体" w:cs="黑体"/>
          <w:color w:val="231F20"/>
          <w:spacing w:val="-8"/>
          <w:sz w:val="31"/>
          <w:szCs w:val="31"/>
          <w:lang w:val="en-US" w:eastAsia="zh-CN"/>
        </w:rPr>
        <w:t>宁夏药品监督管理局</w:t>
      </w:r>
      <w:r>
        <w:rPr>
          <w:rFonts w:ascii="黑体" w:hAnsi="黑体" w:eastAsia="黑体" w:cs="黑体"/>
          <w:color w:val="231F20"/>
          <w:spacing w:val="7"/>
          <w:sz w:val="31"/>
          <w:szCs w:val="31"/>
        </w:rPr>
        <w:t xml:space="preserve">     </w:t>
      </w:r>
      <w:r>
        <w:rPr>
          <w:rFonts w:ascii="黑体" w:hAnsi="黑体" w:eastAsia="黑体" w:cs="黑体"/>
          <w:color w:val="231F20"/>
          <w:spacing w:val="-8"/>
          <w:position w:val="-1"/>
          <w:sz w:val="23"/>
          <w:szCs w:val="23"/>
        </w:rPr>
        <w:t>发</w:t>
      </w:r>
      <w:r>
        <w:rPr>
          <w:rFonts w:ascii="黑体" w:hAnsi="黑体" w:eastAsia="黑体" w:cs="黑体"/>
          <w:color w:val="231F20"/>
          <w:spacing w:val="12"/>
          <w:position w:val="-1"/>
          <w:sz w:val="23"/>
          <w:szCs w:val="23"/>
        </w:rPr>
        <w:t xml:space="preserve">  </w:t>
      </w:r>
      <w:r>
        <w:rPr>
          <w:rFonts w:ascii="黑体" w:hAnsi="黑体" w:eastAsia="黑体" w:cs="黑体"/>
          <w:color w:val="231F20"/>
          <w:spacing w:val="-8"/>
          <w:position w:val="-1"/>
          <w:sz w:val="23"/>
          <w:szCs w:val="23"/>
        </w:rPr>
        <w:t>布</w:t>
      </w:r>
    </w:p>
    <w:p>
      <w:pPr>
        <w:pStyle w:val="3"/>
        <w:sectPr>
          <w:headerReference r:id="rId3" w:type="default"/>
          <w:footerReference r:id="rId4" w:type="default"/>
          <w:pgSz w:w="11906" w:h="16838"/>
          <w:pgMar w:top="1310" w:right="1392" w:bottom="1304" w:left="1404" w:header="0" w:footer="0" w:gutter="0"/>
          <w:pgNumType w:fmt="decimal"/>
          <w:cols w:space="720" w:num="1"/>
        </w:sectPr>
      </w:pPr>
    </w:p>
    <w:sdt>
      <w:sdtPr>
        <w:rPr>
          <w:rFonts w:ascii="微软雅黑" w:hAnsi="微软雅黑" w:eastAsia="微软雅黑" w:cs="微软雅黑"/>
          <w:sz w:val="41"/>
          <w:szCs w:val="41"/>
        </w:rPr>
        <w:id w:val="147460427"/>
        <w:docPartObj>
          <w:docPartGallery w:val="Table of Contents"/>
          <w:docPartUnique/>
        </w:docPartObj>
      </w:sdtPr>
      <w:sdtEndPr>
        <w:rPr>
          <w:rFonts w:ascii="新宋体" w:hAnsi="新宋体" w:eastAsia="新宋体" w:cs="新宋体"/>
          <w:color w:val="auto"/>
          <w:sz w:val="23"/>
          <w:szCs w:val="23"/>
        </w:rPr>
      </w:sdtEndPr>
      <w:sdtContent>
        <w:p>
          <w:pPr>
            <w:spacing w:before="176" w:line="181" w:lineRule="auto"/>
            <w:ind w:left="3989"/>
            <w:rPr>
              <w:rFonts w:ascii="微软雅黑" w:hAnsi="微软雅黑" w:eastAsia="微软雅黑" w:cs="微软雅黑"/>
              <w:sz w:val="41"/>
              <w:szCs w:val="41"/>
            </w:rPr>
          </w:pPr>
          <w:bookmarkStart w:id="0" w:name="bookmark1"/>
          <w:bookmarkEnd w:id="0"/>
        </w:p>
        <w:p>
          <w:pPr>
            <w:spacing w:before="176" w:line="181" w:lineRule="auto"/>
            <w:ind w:left="3989"/>
            <w:rPr>
              <w:rFonts w:ascii="微软雅黑" w:hAnsi="微软雅黑" w:eastAsia="微软雅黑" w:cs="微软雅黑"/>
              <w:sz w:val="41"/>
              <w:szCs w:val="41"/>
            </w:rPr>
          </w:pPr>
          <w:r>
            <w:rPr>
              <w:rFonts w:ascii="微软雅黑" w:hAnsi="微软雅黑" w:eastAsia="微软雅黑" w:cs="微软雅黑"/>
              <w:color w:val="231F20"/>
              <w:spacing w:val="-33"/>
              <w:sz w:val="41"/>
              <w:szCs w:val="41"/>
            </w:rPr>
            <w:t>目</w:t>
          </w:r>
          <w:r>
            <w:rPr>
              <w:rFonts w:ascii="微软雅黑" w:hAnsi="微软雅黑" w:eastAsia="微软雅黑" w:cs="微软雅黑"/>
              <w:color w:val="231F20"/>
              <w:spacing w:val="23"/>
              <w:sz w:val="41"/>
              <w:szCs w:val="41"/>
            </w:rPr>
            <w:t xml:space="preserve">   </w:t>
          </w:r>
          <w:r>
            <w:rPr>
              <w:rFonts w:ascii="微软雅黑" w:hAnsi="微软雅黑" w:eastAsia="微软雅黑" w:cs="微软雅黑"/>
              <w:color w:val="231F20"/>
              <w:spacing w:val="-33"/>
              <w:sz w:val="41"/>
              <w:szCs w:val="41"/>
            </w:rPr>
            <w:t>次</w:t>
          </w:r>
        </w:p>
        <w:p>
          <w:pPr>
            <w:pStyle w:val="3"/>
            <w:spacing w:line="257" w:lineRule="auto"/>
          </w:pPr>
        </w:p>
        <w:p>
          <w:pPr>
            <w:pStyle w:val="3"/>
            <w:spacing w:line="257" w:lineRule="auto"/>
          </w:pPr>
        </w:p>
        <w:p>
          <w:pPr>
            <w:pStyle w:val="3"/>
            <w:spacing w:line="257" w:lineRule="auto"/>
          </w:pPr>
        </w:p>
        <w:p>
          <w:pPr>
            <w:spacing w:before="99" w:line="205" w:lineRule="auto"/>
            <w:ind w:left="18"/>
            <w:rPr>
              <w:rFonts w:ascii="微软雅黑" w:hAnsi="微软雅黑" w:eastAsia="微软雅黑" w:cs="微软雅黑"/>
              <w:sz w:val="23"/>
              <w:szCs w:val="23"/>
            </w:rPr>
          </w:pPr>
          <w:r>
            <w:fldChar w:fldCharType="begin"/>
          </w:r>
          <w:r>
            <w:instrText xml:space="preserve"> HYPERLINK \l "bookmark2" </w:instrText>
          </w:r>
          <w:r>
            <w:fldChar w:fldCharType="separate"/>
          </w:r>
          <w:r>
            <w:rPr>
              <w:rFonts w:ascii="微软雅黑" w:hAnsi="微软雅黑" w:eastAsia="微软雅黑" w:cs="微软雅黑"/>
              <w:color w:val="231F20"/>
              <w:spacing w:val="5"/>
              <w:sz w:val="23"/>
              <w:szCs w:val="23"/>
            </w:rPr>
            <w:t>前言</w:t>
          </w:r>
          <w:r>
            <w:rPr>
              <w:rFonts w:ascii="微软雅黑" w:hAnsi="微软雅黑" w:eastAsia="微软雅黑" w:cs="微软雅黑"/>
              <w:color w:val="231F20"/>
              <w:spacing w:val="5"/>
              <w:sz w:val="23"/>
              <w:szCs w:val="23"/>
            </w:rPr>
            <w:fldChar w:fldCharType="end"/>
          </w:r>
        </w:p>
        <w:p>
          <w:pPr>
            <w:tabs>
              <w:tab w:val="right" w:leader="dot" w:pos="9082"/>
            </w:tabs>
            <w:spacing w:before="75" w:line="206" w:lineRule="auto"/>
            <w:ind w:left="41"/>
            <w:rPr>
              <w:rFonts w:ascii="新宋体" w:hAnsi="新宋体" w:eastAsia="新宋体" w:cs="新宋体"/>
              <w:color w:val="auto"/>
              <w:sz w:val="23"/>
              <w:szCs w:val="23"/>
            </w:rPr>
          </w:pPr>
          <w:r>
            <w:rPr>
              <w:color w:val="auto"/>
            </w:rPr>
            <w:fldChar w:fldCharType="begin"/>
          </w:r>
          <w:r>
            <w:rPr>
              <w:color w:val="auto"/>
            </w:rPr>
            <w:instrText xml:space="preserve"> HYPERLINK \l "bookmark3" </w:instrText>
          </w:r>
          <w:r>
            <w:rPr>
              <w:color w:val="auto"/>
            </w:rPr>
            <w:fldChar w:fldCharType="separate"/>
          </w:r>
          <w:r>
            <w:rPr>
              <w:rFonts w:ascii="新宋体" w:hAnsi="新宋体" w:eastAsia="新宋体" w:cs="新宋体"/>
              <w:color w:val="auto"/>
              <w:spacing w:val="-6"/>
              <w:sz w:val="23"/>
              <w:szCs w:val="23"/>
            </w:rPr>
            <w:t>1</w:t>
          </w:r>
          <w:r>
            <w:rPr>
              <w:rFonts w:ascii="新宋体" w:hAnsi="新宋体" w:eastAsia="新宋体" w:cs="新宋体"/>
              <w:color w:val="auto"/>
              <w:spacing w:val="10"/>
              <w:sz w:val="23"/>
              <w:szCs w:val="23"/>
            </w:rPr>
            <w:t xml:space="preserve">  </w:t>
          </w:r>
          <w:r>
            <w:rPr>
              <w:rFonts w:hint="eastAsia" w:ascii="微软雅黑" w:hAnsi="微软雅黑" w:eastAsia="微软雅黑" w:cs="微软雅黑"/>
              <w:color w:val="auto"/>
              <w:spacing w:val="-6"/>
              <w:sz w:val="23"/>
              <w:szCs w:val="23"/>
              <w:lang w:val="en-US" w:eastAsia="zh-CN"/>
            </w:rPr>
            <w:t>原则</w:t>
          </w:r>
          <w:r>
            <w:rPr>
              <w:rFonts w:ascii="微软雅黑" w:hAnsi="微软雅黑" w:eastAsia="微软雅黑" w:cs="微软雅黑"/>
              <w:color w:val="auto"/>
              <w:spacing w:val="30"/>
              <w:w w:val="101"/>
              <w:sz w:val="23"/>
              <w:szCs w:val="23"/>
            </w:rPr>
            <w:t xml:space="preserve"> </w:t>
          </w:r>
          <w:r>
            <w:rPr>
              <w:rFonts w:ascii="微软雅黑" w:hAnsi="微软雅黑" w:eastAsia="微软雅黑" w:cs="微软雅黑"/>
              <w:color w:val="auto"/>
              <w:sz w:val="23"/>
              <w:szCs w:val="23"/>
            </w:rPr>
            <w:tab/>
          </w:r>
          <w:r>
            <w:rPr>
              <w:rFonts w:ascii="微软雅黑" w:hAnsi="微软雅黑" w:eastAsia="微软雅黑" w:cs="微软雅黑"/>
              <w:color w:val="auto"/>
              <w:spacing w:val="6"/>
              <w:sz w:val="23"/>
              <w:szCs w:val="23"/>
            </w:rPr>
            <w:t xml:space="preserve">  </w:t>
          </w:r>
          <w:r>
            <w:rPr>
              <w:rFonts w:hint="eastAsia" w:ascii="新宋体" w:hAnsi="新宋体" w:eastAsia="新宋体" w:cs="新宋体"/>
              <w:color w:val="auto"/>
              <w:sz w:val="23"/>
              <w:szCs w:val="23"/>
              <w:lang w:val="en-US" w:eastAsia="zh-CN"/>
            </w:rPr>
            <w:t>4</w:t>
          </w:r>
          <w:r>
            <w:rPr>
              <w:rFonts w:ascii="新宋体" w:hAnsi="新宋体" w:eastAsia="新宋体" w:cs="新宋体"/>
              <w:color w:val="auto"/>
              <w:sz w:val="23"/>
              <w:szCs w:val="23"/>
            </w:rPr>
            <w:fldChar w:fldCharType="end"/>
          </w:r>
        </w:p>
        <w:p>
          <w:pPr>
            <w:tabs>
              <w:tab w:val="right" w:leader="dot" w:pos="9082"/>
            </w:tabs>
            <w:spacing w:before="75" w:line="204" w:lineRule="auto"/>
            <w:ind w:left="21"/>
            <w:rPr>
              <w:rFonts w:ascii="新宋体" w:hAnsi="新宋体" w:eastAsia="新宋体" w:cs="新宋体"/>
              <w:color w:val="auto"/>
              <w:sz w:val="23"/>
              <w:szCs w:val="23"/>
            </w:rPr>
          </w:pPr>
          <w:r>
            <w:rPr>
              <w:color w:val="auto"/>
            </w:rPr>
            <w:fldChar w:fldCharType="begin"/>
          </w:r>
          <w:r>
            <w:rPr>
              <w:color w:val="auto"/>
            </w:rPr>
            <w:instrText xml:space="preserve"> HYPERLINK \l "bookmark4" </w:instrText>
          </w:r>
          <w:r>
            <w:rPr>
              <w:color w:val="auto"/>
            </w:rPr>
            <w:fldChar w:fldCharType="separate"/>
          </w:r>
          <w:r>
            <w:rPr>
              <w:rFonts w:ascii="新宋体" w:hAnsi="新宋体" w:eastAsia="新宋体" w:cs="新宋体"/>
              <w:color w:val="auto"/>
              <w:spacing w:val="7"/>
              <w:sz w:val="23"/>
              <w:szCs w:val="23"/>
            </w:rPr>
            <w:t xml:space="preserve">2  </w:t>
          </w:r>
          <w:r>
            <w:rPr>
              <w:rFonts w:hint="eastAsia" w:ascii="微软雅黑" w:hAnsi="微软雅黑" w:eastAsia="微软雅黑" w:cs="微软雅黑"/>
              <w:color w:val="auto"/>
              <w:spacing w:val="7"/>
              <w:sz w:val="23"/>
              <w:szCs w:val="23"/>
              <w:lang w:val="en-US" w:eastAsia="zh-CN"/>
            </w:rPr>
            <w:t>一般体例要求</w:t>
          </w:r>
          <w:r>
            <w:rPr>
              <w:rFonts w:ascii="微软雅黑" w:hAnsi="微软雅黑" w:eastAsia="微软雅黑" w:cs="微软雅黑"/>
              <w:color w:val="auto"/>
              <w:spacing w:val="31"/>
              <w:w w:val="101"/>
              <w:sz w:val="23"/>
              <w:szCs w:val="23"/>
            </w:rPr>
            <w:t xml:space="preserve"> </w:t>
          </w:r>
          <w:r>
            <w:rPr>
              <w:rFonts w:ascii="微软雅黑" w:hAnsi="微软雅黑" w:eastAsia="微软雅黑" w:cs="微软雅黑"/>
              <w:color w:val="auto"/>
              <w:sz w:val="23"/>
              <w:szCs w:val="23"/>
            </w:rPr>
            <w:tab/>
          </w:r>
          <w:r>
            <w:rPr>
              <w:rFonts w:ascii="微软雅黑" w:hAnsi="微软雅黑" w:eastAsia="微软雅黑" w:cs="微软雅黑"/>
              <w:color w:val="auto"/>
              <w:spacing w:val="6"/>
              <w:sz w:val="23"/>
              <w:szCs w:val="23"/>
            </w:rPr>
            <w:t xml:space="preserve">  </w:t>
          </w:r>
          <w:r>
            <w:rPr>
              <w:rFonts w:hint="eastAsia" w:ascii="新宋体" w:hAnsi="新宋体" w:eastAsia="新宋体" w:cs="新宋体"/>
              <w:color w:val="auto"/>
              <w:sz w:val="23"/>
              <w:szCs w:val="23"/>
              <w:lang w:val="en-US" w:eastAsia="zh-CN"/>
            </w:rPr>
            <w:t>4</w:t>
          </w:r>
          <w:r>
            <w:rPr>
              <w:rFonts w:ascii="新宋体" w:hAnsi="新宋体" w:eastAsia="新宋体" w:cs="新宋体"/>
              <w:color w:val="auto"/>
              <w:sz w:val="23"/>
              <w:szCs w:val="23"/>
            </w:rPr>
            <w:fldChar w:fldCharType="end"/>
          </w:r>
        </w:p>
        <w:p>
          <w:pPr>
            <w:tabs>
              <w:tab w:val="right" w:leader="dot" w:pos="9082"/>
            </w:tabs>
            <w:spacing w:before="77" w:line="205" w:lineRule="auto"/>
            <w:ind w:left="25"/>
            <w:rPr>
              <w:rFonts w:ascii="新宋体" w:hAnsi="新宋体" w:eastAsia="新宋体" w:cs="新宋体"/>
              <w:color w:val="auto"/>
              <w:sz w:val="23"/>
              <w:szCs w:val="23"/>
            </w:rPr>
          </w:pPr>
          <w:r>
            <w:rPr>
              <w:color w:val="auto"/>
            </w:rPr>
            <w:fldChar w:fldCharType="begin"/>
          </w:r>
          <w:r>
            <w:rPr>
              <w:color w:val="auto"/>
            </w:rPr>
            <w:instrText xml:space="preserve"> HYPERLINK \l "bookmark5" </w:instrText>
          </w:r>
          <w:r>
            <w:rPr>
              <w:color w:val="auto"/>
            </w:rPr>
            <w:fldChar w:fldCharType="separate"/>
          </w:r>
          <w:r>
            <w:rPr>
              <w:rFonts w:ascii="新宋体" w:hAnsi="新宋体" w:eastAsia="新宋体" w:cs="新宋体"/>
              <w:color w:val="auto"/>
              <w:spacing w:val="6"/>
              <w:sz w:val="23"/>
              <w:szCs w:val="23"/>
            </w:rPr>
            <w:t xml:space="preserve">3 </w:t>
          </w:r>
          <w:r>
            <w:rPr>
              <w:rFonts w:hint="eastAsia" w:ascii="新宋体" w:hAnsi="新宋体" w:eastAsia="新宋体" w:cs="新宋体"/>
              <w:color w:val="auto"/>
              <w:spacing w:val="6"/>
              <w:sz w:val="23"/>
              <w:szCs w:val="23"/>
              <w:lang w:val="en-US" w:eastAsia="zh-CN"/>
            </w:rPr>
            <w:t xml:space="preserve"> </w:t>
          </w:r>
          <w:r>
            <w:rPr>
              <w:rFonts w:hint="eastAsia" w:ascii="微软雅黑" w:hAnsi="微软雅黑" w:eastAsia="微软雅黑" w:cs="微软雅黑"/>
              <w:color w:val="auto"/>
              <w:spacing w:val="7"/>
              <w:sz w:val="23"/>
              <w:szCs w:val="23"/>
              <w:lang w:val="en-US" w:eastAsia="zh-CN"/>
            </w:rPr>
            <w:t>鲜切药材质量标准要求</w:t>
          </w:r>
          <w:r>
            <w:rPr>
              <w:rFonts w:ascii="新宋体" w:hAnsi="新宋体" w:eastAsia="新宋体" w:cs="新宋体"/>
              <w:color w:val="auto"/>
              <w:spacing w:val="7"/>
              <w:sz w:val="23"/>
              <w:szCs w:val="23"/>
            </w:rPr>
            <w:t xml:space="preserve"> </w:t>
          </w:r>
          <w:r>
            <w:rPr>
              <w:rFonts w:ascii="微软雅黑" w:hAnsi="微软雅黑" w:eastAsia="微软雅黑" w:cs="微软雅黑"/>
              <w:color w:val="auto"/>
              <w:sz w:val="23"/>
              <w:szCs w:val="23"/>
            </w:rPr>
            <w:tab/>
          </w:r>
          <w:r>
            <w:rPr>
              <w:rFonts w:ascii="微软雅黑" w:hAnsi="微软雅黑" w:eastAsia="微软雅黑" w:cs="微软雅黑"/>
              <w:color w:val="auto"/>
              <w:spacing w:val="6"/>
              <w:sz w:val="23"/>
              <w:szCs w:val="23"/>
            </w:rPr>
            <w:t xml:space="preserve">  </w:t>
          </w:r>
          <w:r>
            <w:rPr>
              <w:rFonts w:hint="eastAsia" w:ascii="新宋体" w:hAnsi="新宋体" w:eastAsia="新宋体" w:cs="新宋体"/>
              <w:color w:val="auto"/>
              <w:sz w:val="23"/>
              <w:szCs w:val="23"/>
              <w:lang w:val="en-US" w:eastAsia="zh-CN"/>
            </w:rPr>
            <w:t>4</w:t>
          </w:r>
          <w:r>
            <w:rPr>
              <w:rFonts w:ascii="新宋体" w:hAnsi="新宋体" w:eastAsia="新宋体" w:cs="新宋体"/>
              <w:color w:val="auto"/>
              <w:sz w:val="23"/>
              <w:szCs w:val="23"/>
            </w:rPr>
            <w:fldChar w:fldCharType="end"/>
          </w:r>
        </w:p>
        <w:p>
          <w:pPr>
            <w:tabs>
              <w:tab w:val="right" w:leader="dot" w:pos="9082"/>
            </w:tabs>
            <w:spacing w:before="76" w:line="205" w:lineRule="auto"/>
            <w:ind w:left="17"/>
            <w:rPr>
              <w:rFonts w:ascii="新宋体" w:hAnsi="新宋体" w:eastAsia="新宋体" w:cs="新宋体"/>
              <w:color w:val="auto"/>
              <w:sz w:val="23"/>
              <w:szCs w:val="23"/>
            </w:rPr>
          </w:pPr>
          <w:r>
            <w:rPr>
              <w:color w:val="auto"/>
            </w:rPr>
            <w:fldChar w:fldCharType="begin"/>
          </w:r>
          <w:r>
            <w:rPr>
              <w:color w:val="auto"/>
            </w:rPr>
            <w:instrText xml:space="preserve"> HYPERLINK \l "bookmark6" </w:instrText>
          </w:r>
          <w:r>
            <w:rPr>
              <w:color w:val="auto"/>
            </w:rPr>
            <w:fldChar w:fldCharType="separate"/>
          </w:r>
          <w:r>
            <w:rPr>
              <w:rFonts w:ascii="新宋体" w:hAnsi="新宋体" w:eastAsia="新宋体" w:cs="新宋体"/>
              <w:color w:val="auto"/>
              <w:spacing w:val="4"/>
              <w:sz w:val="23"/>
              <w:szCs w:val="23"/>
            </w:rPr>
            <w:t>4</w:t>
          </w:r>
          <w:r>
            <w:rPr>
              <w:rFonts w:ascii="新宋体" w:hAnsi="新宋体" w:eastAsia="新宋体" w:cs="新宋体"/>
              <w:color w:val="auto"/>
              <w:spacing w:val="7"/>
              <w:sz w:val="23"/>
              <w:szCs w:val="23"/>
            </w:rPr>
            <w:t xml:space="preserve">  </w:t>
          </w:r>
          <w:r>
            <w:rPr>
              <w:rFonts w:hint="eastAsia" w:ascii="微软雅黑" w:hAnsi="微软雅黑" w:eastAsia="微软雅黑" w:cs="微软雅黑"/>
              <w:color w:val="auto"/>
              <w:spacing w:val="7"/>
              <w:sz w:val="23"/>
              <w:szCs w:val="23"/>
              <w:lang w:val="en-US" w:eastAsia="zh-CN"/>
            </w:rPr>
            <w:t>鲜切药材标准内容</w:t>
          </w:r>
          <w:r>
            <w:rPr>
              <w:rFonts w:ascii="微软雅黑" w:hAnsi="微软雅黑" w:eastAsia="微软雅黑" w:cs="微软雅黑"/>
              <w:color w:val="auto"/>
              <w:spacing w:val="30"/>
              <w:sz w:val="23"/>
              <w:szCs w:val="23"/>
            </w:rPr>
            <w:t xml:space="preserve"> </w:t>
          </w:r>
          <w:r>
            <w:rPr>
              <w:rFonts w:ascii="微软雅黑" w:hAnsi="微软雅黑" w:eastAsia="微软雅黑" w:cs="微软雅黑"/>
              <w:color w:val="auto"/>
              <w:sz w:val="23"/>
              <w:szCs w:val="23"/>
            </w:rPr>
            <w:tab/>
          </w:r>
          <w:r>
            <w:rPr>
              <w:rFonts w:ascii="微软雅黑" w:hAnsi="微软雅黑" w:eastAsia="微软雅黑" w:cs="微软雅黑"/>
              <w:color w:val="auto"/>
              <w:spacing w:val="61"/>
              <w:sz w:val="23"/>
              <w:szCs w:val="23"/>
            </w:rPr>
            <w:t xml:space="preserve"> </w:t>
          </w:r>
          <w:r>
            <w:rPr>
              <w:rFonts w:hint="eastAsia" w:ascii="新宋体" w:hAnsi="新宋体" w:eastAsia="新宋体" w:cs="新宋体"/>
              <w:color w:val="auto"/>
              <w:sz w:val="23"/>
              <w:szCs w:val="23"/>
              <w:lang w:val="en-US" w:eastAsia="zh-CN"/>
            </w:rPr>
            <w:t>4</w:t>
          </w:r>
          <w:r>
            <w:rPr>
              <w:rFonts w:ascii="新宋体" w:hAnsi="新宋体" w:eastAsia="新宋体" w:cs="新宋体"/>
              <w:color w:val="auto"/>
              <w:sz w:val="23"/>
              <w:szCs w:val="23"/>
            </w:rPr>
            <w:fldChar w:fldCharType="end"/>
          </w:r>
        </w:p>
        <w:p>
          <w:pPr>
            <w:tabs>
              <w:tab w:val="right" w:leader="dot" w:pos="9082"/>
            </w:tabs>
            <w:spacing w:before="76" w:line="205" w:lineRule="auto"/>
            <w:ind w:left="22"/>
            <w:rPr>
              <w:rFonts w:ascii="新宋体" w:hAnsi="新宋体" w:eastAsia="新宋体" w:cs="新宋体"/>
              <w:color w:val="auto"/>
              <w:sz w:val="23"/>
              <w:szCs w:val="23"/>
            </w:rPr>
          </w:pPr>
          <w:r>
            <w:rPr>
              <w:color w:val="auto"/>
            </w:rPr>
            <w:fldChar w:fldCharType="begin"/>
          </w:r>
          <w:r>
            <w:rPr>
              <w:color w:val="auto"/>
            </w:rPr>
            <w:instrText xml:space="preserve"> HYPERLINK \l "bookmark7" </w:instrText>
          </w:r>
          <w:r>
            <w:rPr>
              <w:color w:val="auto"/>
            </w:rPr>
            <w:fldChar w:fldCharType="separate"/>
          </w:r>
          <w:r>
            <w:rPr>
              <w:rFonts w:ascii="新宋体" w:hAnsi="新宋体" w:eastAsia="新宋体" w:cs="新宋体"/>
              <w:color w:val="auto"/>
              <w:spacing w:val="7"/>
              <w:sz w:val="23"/>
              <w:szCs w:val="23"/>
            </w:rPr>
            <w:t xml:space="preserve">5  </w:t>
          </w:r>
          <w:r>
            <w:rPr>
              <w:rFonts w:hint="eastAsia" w:ascii="微软雅黑" w:hAnsi="微软雅黑" w:eastAsia="微软雅黑" w:cs="微软雅黑"/>
              <w:color w:val="auto"/>
              <w:spacing w:val="7"/>
              <w:sz w:val="23"/>
              <w:szCs w:val="23"/>
              <w:lang w:val="en-US" w:eastAsia="zh-CN"/>
            </w:rPr>
            <w:t xml:space="preserve">起草说明 </w:t>
          </w:r>
          <w:r>
            <w:rPr>
              <w:rFonts w:ascii="微软雅黑" w:hAnsi="微软雅黑" w:eastAsia="微软雅黑" w:cs="微软雅黑"/>
              <w:color w:val="auto"/>
              <w:sz w:val="23"/>
              <w:szCs w:val="23"/>
            </w:rPr>
            <w:tab/>
          </w:r>
          <w:r>
            <w:rPr>
              <w:rFonts w:ascii="微软雅黑" w:hAnsi="微软雅黑" w:eastAsia="微软雅黑" w:cs="微软雅黑"/>
              <w:color w:val="auto"/>
              <w:spacing w:val="64"/>
              <w:w w:val="101"/>
              <w:sz w:val="23"/>
              <w:szCs w:val="23"/>
            </w:rPr>
            <w:t xml:space="preserve"> </w:t>
          </w:r>
          <w:r>
            <w:rPr>
              <w:rFonts w:hint="eastAsia" w:ascii="新宋体" w:hAnsi="新宋体" w:eastAsia="新宋体" w:cs="新宋体"/>
              <w:color w:val="auto"/>
              <w:sz w:val="23"/>
              <w:szCs w:val="23"/>
              <w:lang w:val="en-US" w:eastAsia="zh-CN"/>
            </w:rPr>
            <w:t>4</w:t>
          </w:r>
          <w:r>
            <w:rPr>
              <w:rFonts w:ascii="新宋体" w:hAnsi="新宋体" w:eastAsia="新宋体" w:cs="新宋体"/>
              <w:color w:val="auto"/>
              <w:sz w:val="23"/>
              <w:szCs w:val="23"/>
            </w:rPr>
            <w:fldChar w:fldCharType="end"/>
          </w:r>
        </w:p>
        <w:p>
          <w:pPr>
            <w:tabs>
              <w:tab w:val="right" w:leader="dot" w:pos="9082"/>
            </w:tabs>
            <w:spacing w:before="77" w:line="205" w:lineRule="auto"/>
            <w:ind w:left="21"/>
            <w:rPr>
              <w:rFonts w:ascii="新宋体" w:hAnsi="新宋体" w:eastAsia="新宋体" w:cs="新宋体"/>
              <w:color w:val="auto"/>
              <w:sz w:val="23"/>
              <w:szCs w:val="23"/>
            </w:rPr>
          </w:pPr>
        </w:p>
      </w:sdtContent>
    </w:sdt>
    <w:p>
      <w:pPr>
        <w:pStyle w:val="3"/>
        <w:rPr>
          <w:color w:val="auto"/>
        </w:rPr>
      </w:pPr>
      <w:r>
        <w:rPr>
          <w:color w:val="auto"/>
        </w:rPr>
        <mc:AlternateContent>
          <mc:Choice Requires="wps">
            <w:drawing>
              <wp:anchor distT="0" distB="0" distL="114300" distR="114300" simplePos="0" relativeHeight="251663360" behindDoc="0" locked="0" layoutInCell="0" allowOverlap="1">
                <wp:simplePos x="0" y="0"/>
                <wp:positionH relativeFrom="page">
                  <wp:posOffset>891540</wp:posOffset>
                </wp:positionH>
                <wp:positionV relativeFrom="page">
                  <wp:posOffset>657860</wp:posOffset>
                </wp:positionV>
                <wp:extent cx="5783580" cy="10795"/>
                <wp:effectExtent l="0" t="0" r="0" b="0"/>
                <wp:wrapNone/>
                <wp:docPr id="3" name="任意多边形 3"/>
                <wp:cNvGraphicFramePr/>
                <a:graphic xmlns:a="http://schemas.openxmlformats.org/drawingml/2006/main">
                  <a:graphicData uri="http://schemas.microsoft.com/office/word/2010/wordprocessingShape">
                    <wps:wsp>
                      <wps:cNvSpPr/>
                      <wps:spPr>
                        <a:xfrm>
                          <a:off x="0" y="0"/>
                          <a:ext cx="5783580" cy="10795"/>
                        </a:xfrm>
                        <a:custGeom>
                          <a:avLst/>
                          <a:gdLst/>
                          <a:ahLst/>
                          <a:cxnLst/>
                          <a:pathLst>
                            <a:path w="9107" h="17">
                              <a:moveTo>
                                <a:pt x="8" y="8"/>
                              </a:moveTo>
                              <a:lnTo>
                                <a:pt x="9099" y="8"/>
                              </a:lnTo>
                            </a:path>
                          </a:pathLst>
                        </a:custGeom>
                        <a:noFill/>
                        <a:ln w="10414" cap="rnd" cmpd="sng">
                          <a:solidFill>
                            <a:srgbClr val="000000"/>
                          </a:solidFill>
                          <a:prstDash val="solid"/>
                          <a:headEnd type="none" w="med" len="med"/>
                          <a:tailEnd type="none" w="med" len="med"/>
                        </a:ln>
                      </wps:spPr>
                      <wps:bodyPr upright="true"/>
                    </wps:wsp>
                  </a:graphicData>
                </a:graphic>
              </wp:anchor>
            </w:drawing>
          </mc:Choice>
          <mc:Fallback>
            <w:pict>
              <v:shape id="_x0000_s1026" o:spid="_x0000_s1026" o:spt="100" style="position:absolute;left:0pt;margin-left:70.2pt;margin-top:51.8pt;height:0.85pt;width:455.4pt;mso-position-horizontal-relative:page;mso-position-vertical-relative:page;z-index:251663360;mso-width-relative:page;mso-height-relative:page;" filled="f" stroked="t" coordsize="9107,17" o:allowincell="f" o:gfxdata="UEsFBgAAAAAAAAAAAAAAAAAAAAAAAFBLAwQKAAAAAACHTuJAAAAAAAAAAAAAAAAABAAAAGRycy9Q&#10;SwMEFAAAAAgAh07iQA1vDd3ZAAAADAEAAA8AAABkcnMvZG93bnJldi54bWxNj0tPwzAQhO9I/Adr&#10;kbhRO00pKMSpokpw4YBoEYjbNl6SCD+i2H3QX8+2F7jNaD/NzpSLg7NiR2Psg9eQTRQI8k0wvW81&#10;vK0fb+5BxITeoA2eNPxQhEV1eVFiYcLev9JulVrBIT4WqKFLaSikjE1HDuMkDOT59hVGh4nt2Eoz&#10;4p7DnZVTpebSYe/5Q4cDLTtqvldbp+Fjeayf714Is6fj2tZ1/q4+o9P6+ipTDyASHdIfDKf6XB0q&#10;7rQJW2+isOxnasYoC5XPQZwIdZtNQWzOKgdZlfL/iOoXUEsDBBQAAAAIAIdO4kDMHW20HgIAAEIE&#10;AAAOAAAAZHJzL2Uyb0RvYy54bWytU0uOEzEQ3SNxB8t70p3JhCStdGZBGDYIRprhABXbnbbkn2wn&#10;nezZs2eJuAQawWkYxDEoO9+BDUJk4ZRdr1+9+k2vNlqRtfBBWlPTfq+kRBhmuTTLmr67u342piRE&#10;MByUNaKmWxHo1ezpk2nnKnFhW6u48ARJTKg6V9M2RlcVRWCt0BB61gmDzsZ6DRGvfllwDx2ya1Vc&#10;lOXzorOeO2+ZCAFf5zsnnWX+phEsvm2aICJRNUVtMZ8+n4t0FrMpVEsPrpVsLwP+QYUGaTDokWoO&#10;EcjKyz+otGTeBtvEHrO6sE0jmcg5YDb98rdsbltwIueCxQnuWKbw/2jZm/WNJ5LXdECJAY0t+n5/&#10;/+P9h4fPH39++/Lw9RMZpCJ1LlSIvXU3fn8LaKaMN43X6R9zIZtc2O2xsGITCcPH4Wg8GI6x/gx9&#10;/XI0GSbO4vQxW4X4SthMBOvXIe76wg8WtAeLbczBdBDTcwqeTNLVdILklLQYZJTboe1a3NmMiEkd&#10;TiMqGO+jn7zKnKMm5WTyCLhzo94UJws/xsbHc/HGXkulsnplkqJ+edm/xMQBh9sbjpZ2WO1glllg&#10;sEry9EnSGPxy8UJ5soY0rfm3V/oI5nyIcwjtDpddCQZVK4C/NJzErcM+Glw4miRogWGVwP1MVkZG&#10;kOpvkJidMphwav+u4claWL7FqVk5L5ctrlT0K5GFJicOaq7QfqnSJpzfM9lp9We/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A1vDd3ZAAAADAEAAA8AAAAAAAAAAQAgAAAAOAAAAGRycy9kb3ducmV2&#10;LnhtbFBLAQIUABQAAAAIAIdO4kDMHW20HgIAAEIEAAAOAAAAAAAAAAEAIAAAAD4BAABkcnMvZTJv&#10;RG9jLnhtbFBLBQYAAAAABgAGAFkBAADOBQAAAAA=&#10;" path="m8,8l9099,8e">
                <v:fill on="f" focussize="0,0"/>
                <v:stroke weight="0.82pt" color="#000000" joinstyle="round" endcap="round"/>
                <v:imagedata o:title=""/>
                <o:lock v:ext="edit" aspectratio="f"/>
              </v:shape>
            </w:pict>
          </mc:Fallback>
        </mc:AlternateContent>
      </w:r>
    </w:p>
    <w:p>
      <w:pPr>
        <w:pStyle w:val="3"/>
        <w:rPr>
          <w:color w:val="auto"/>
        </w:rPr>
      </w:pPr>
    </w:p>
    <w:p>
      <w:pPr>
        <w:pStyle w:val="3"/>
      </w:pPr>
    </w:p>
    <w:p>
      <w:pPr>
        <w:pStyle w:val="3"/>
      </w:pPr>
    </w:p>
    <w:p>
      <w:pPr>
        <w:pStyle w:val="3"/>
      </w:pPr>
    </w:p>
    <w:p>
      <w:pPr>
        <w:pStyle w:val="3"/>
      </w:pPr>
    </w:p>
    <w:p>
      <w:pPr>
        <w:pStyle w:val="3"/>
      </w:pPr>
    </w:p>
    <w:p>
      <w:pPr>
        <w:pStyle w:val="3"/>
      </w:pPr>
    </w:p>
    <w:p>
      <w:pPr>
        <w:pStyle w:val="3"/>
      </w:pPr>
    </w:p>
    <w:p>
      <w:pPr>
        <w:pStyle w:val="3"/>
      </w:pPr>
    </w:p>
    <w:p>
      <w:pPr>
        <w:pStyle w:val="3"/>
      </w:pPr>
    </w:p>
    <w:p>
      <w:pPr>
        <w:pStyle w:val="3"/>
      </w:pPr>
    </w:p>
    <w:p>
      <w:pPr>
        <w:pStyle w:val="3"/>
      </w:pPr>
    </w:p>
    <w:p>
      <w:pPr>
        <w:pStyle w:val="3"/>
      </w:pPr>
    </w:p>
    <w:p>
      <w:pPr>
        <w:pStyle w:val="3"/>
      </w:pPr>
    </w:p>
    <w:p>
      <w:pPr>
        <w:pStyle w:val="3"/>
      </w:pPr>
    </w:p>
    <w:p>
      <w:pPr>
        <w:pStyle w:val="3"/>
      </w:pPr>
    </w:p>
    <w:p>
      <w:pPr>
        <w:pStyle w:val="3"/>
      </w:pPr>
    </w:p>
    <w:p>
      <w:pPr>
        <w:spacing w:line="540" w:lineRule="exact"/>
        <w:ind w:firstLine="480" w:firstLineChars="200"/>
        <w:rPr>
          <w:rFonts w:hint="eastAsia" w:ascii="仿宋_GB2312" w:hAnsi="仿宋_GB2312" w:eastAsia="仿宋_GB2312" w:cs="仿宋_GB2312"/>
          <w:color w:val="auto"/>
          <w:sz w:val="24"/>
          <w:szCs w:val="24"/>
        </w:rPr>
      </w:pPr>
      <w:r>
        <w:rPr>
          <w:rFonts w:hint="eastAsia" w:ascii="黑体" w:hAnsi="黑体" w:eastAsia="黑体" w:cs="黑体"/>
          <w:color w:val="auto"/>
          <w:sz w:val="24"/>
          <w:szCs w:val="24"/>
        </w:rPr>
        <w:t xml:space="preserve">一、原则 </w:t>
      </w:r>
      <w:r>
        <w:rPr>
          <w:rFonts w:hint="eastAsia" w:ascii="仿宋_GB2312" w:hAnsi="仿宋_GB2312" w:eastAsia="仿宋_GB2312" w:cs="仿宋_GB2312"/>
          <w:color w:val="auto"/>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shd w:val="clear" w:color="auto" w:fill="FFFFFF"/>
        </w:rPr>
        <w:t>鲜切药材标准</w:t>
      </w:r>
      <w:r>
        <w:rPr>
          <w:rFonts w:hint="eastAsia" w:ascii="宋体" w:hAnsi="宋体" w:eastAsia="宋体" w:cs="宋体"/>
          <w:color w:val="auto"/>
          <w:sz w:val="24"/>
          <w:szCs w:val="24"/>
        </w:rPr>
        <w:t>的制定必须根据中药材自身的生物学与理化特性，在总结传统经验的基础上，通过科学的研究评价，并在实践中应用证实是切实可行的，质量标准符合《中国药典》</w:t>
      </w:r>
      <w:r>
        <w:rPr>
          <w:rFonts w:hint="eastAsia" w:ascii="宋体" w:hAnsi="宋体" w:eastAsia="宋体" w:cs="宋体"/>
          <w:color w:val="auto"/>
          <w:sz w:val="24"/>
          <w:szCs w:val="24"/>
          <w:lang w:val="en-US" w:eastAsia="zh-CN"/>
        </w:rPr>
        <w:t>2025年版一部、四部</w:t>
      </w:r>
      <w:r>
        <w:rPr>
          <w:rFonts w:hint="eastAsia" w:ascii="宋体" w:hAnsi="宋体" w:eastAsia="宋体" w:cs="宋体"/>
          <w:color w:val="auto"/>
          <w:sz w:val="24"/>
          <w:szCs w:val="24"/>
        </w:rPr>
        <w:t>等国家药品标准或者《</w:t>
      </w:r>
      <w:r>
        <w:rPr>
          <w:rFonts w:hint="eastAsia" w:ascii="宋体" w:hAnsi="宋体" w:eastAsia="宋体" w:cs="宋体"/>
          <w:color w:val="auto"/>
          <w:sz w:val="24"/>
          <w:szCs w:val="24"/>
          <w:lang w:val="en-US" w:eastAsia="zh-CN"/>
        </w:rPr>
        <w:t>宁夏</w:t>
      </w:r>
      <w:r>
        <w:rPr>
          <w:rFonts w:hint="eastAsia" w:ascii="宋体" w:hAnsi="宋体" w:eastAsia="宋体" w:cs="宋体"/>
          <w:color w:val="auto"/>
          <w:sz w:val="24"/>
          <w:szCs w:val="24"/>
        </w:rPr>
        <w:t>中药材标准》</w:t>
      </w:r>
      <w:r>
        <w:rPr>
          <w:rFonts w:hint="eastAsia" w:ascii="宋体" w:hAnsi="宋体" w:eastAsia="宋体" w:cs="宋体"/>
          <w:color w:val="auto"/>
          <w:sz w:val="24"/>
          <w:szCs w:val="24"/>
          <w:lang w:val="en-US" w:eastAsia="zh-CN"/>
        </w:rPr>
        <w:t>2018年版</w:t>
      </w:r>
      <w:r>
        <w:rPr>
          <w:rFonts w:hint="eastAsia" w:ascii="宋体" w:hAnsi="宋体" w:eastAsia="宋体" w:cs="宋体"/>
          <w:color w:val="auto"/>
          <w:sz w:val="24"/>
          <w:szCs w:val="24"/>
        </w:rPr>
        <w:t>和《</w:t>
      </w:r>
      <w:r>
        <w:rPr>
          <w:rFonts w:hint="eastAsia" w:ascii="宋体" w:hAnsi="宋体" w:eastAsia="宋体" w:cs="宋体"/>
          <w:color w:val="auto"/>
          <w:sz w:val="24"/>
          <w:szCs w:val="24"/>
          <w:lang w:val="en-US" w:eastAsia="zh-CN"/>
        </w:rPr>
        <w:t>宁夏中</w:t>
      </w:r>
      <w:r>
        <w:rPr>
          <w:rFonts w:hint="eastAsia" w:ascii="宋体" w:hAnsi="宋体" w:eastAsia="宋体" w:cs="宋体"/>
          <w:color w:val="auto"/>
          <w:sz w:val="24"/>
          <w:szCs w:val="24"/>
        </w:rPr>
        <w:t>药饮片炮制规范》</w:t>
      </w:r>
      <w:r>
        <w:rPr>
          <w:rFonts w:hint="eastAsia" w:ascii="宋体" w:hAnsi="宋体" w:eastAsia="宋体" w:cs="宋体"/>
          <w:color w:val="auto"/>
          <w:sz w:val="24"/>
          <w:szCs w:val="24"/>
          <w:lang w:val="en-US" w:eastAsia="zh-CN"/>
        </w:rPr>
        <w:t>2017年版</w:t>
      </w:r>
      <w:r>
        <w:rPr>
          <w:rFonts w:hint="eastAsia" w:ascii="宋体" w:hAnsi="宋体" w:eastAsia="宋体" w:cs="宋体"/>
          <w:color w:val="auto"/>
          <w:sz w:val="24"/>
          <w:szCs w:val="24"/>
        </w:rPr>
        <w:t>中的相应规定要求</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起草指导原则与技术要求应遵守国家药典委员会《国家药品标准工作手册》（第四版）的相关要求</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产地加工中药材生产企业应当建立完整的中药材质量追溯体系，能够保证中药材种植、采收、加工、干燥、包装、仓储及销售等全过程追溯。</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 xml:space="preserve">二、一般体例要求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shd w:val="clear" w:color="auto" w:fill="FFFFFF"/>
        </w:rPr>
        <w:t>鲜切药材标准</w:t>
      </w:r>
      <w:r>
        <w:rPr>
          <w:rFonts w:hint="eastAsia" w:ascii="宋体" w:hAnsi="宋体" w:eastAsia="宋体" w:cs="宋体"/>
          <w:color w:val="auto"/>
          <w:sz w:val="24"/>
          <w:szCs w:val="24"/>
          <w:shd w:val="clear" w:color="auto" w:fill="FFFFFF"/>
          <w:lang w:val="en-US" w:eastAsia="zh-CN"/>
        </w:rPr>
        <w:t>由“鲜切药材质量标准”与“鲜切药材质量标准起草说明”两部分组成。</w:t>
      </w:r>
      <w:r>
        <w:rPr>
          <w:rFonts w:hint="eastAsia" w:ascii="宋体" w:hAnsi="宋体" w:eastAsia="宋体" w:cs="宋体"/>
          <w:color w:val="auto"/>
          <w:sz w:val="24"/>
          <w:szCs w:val="24"/>
        </w:rPr>
        <w:t>标准所用术语、符号、计量单位、检验方法及相关要求等，均执行《中国药典》</w:t>
      </w:r>
      <w:r>
        <w:rPr>
          <w:rFonts w:hint="eastAsia" w:ascii="宋体" w:hAnsi="宋体" w:eastAsia="宋体" w:cs="宋体"/>
          <w:color w:val="auto"/>
          <w:sz w:val="24"/>
          <w:szCs w:val="24"/>
          <w:lang w:val="en-US" w:eastAsia="zh-CN"/>
        </w:rPr>
        <w:t>2025年版</w:t>
      </w:r>
      <w:r>
        <w:rPr>
          <w:rFonts w:hint="eastAsia" w:ascii="宋体" w:hAnsi="宋体" w:eastAsia="宋体" w:cs="宋体"/>
          <w:color w:val="auto"/>
          <w:sz w:val="24"/>
          <w:szCs w:val="24"/>
        </w:rPr>
        <w:t xml:space="preserve">等国家、地方药品标准的有关规定。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标准应当包括：封面、目次、前言、品名、范围、规范性引用文件、术语和定义、鲜切药材质量要求、包装、规范性附录、资料性附录、参考文献等。  </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color w:val="FF0000"/>
          <w:sz w:val="24"/>
          <w:szCs w:val="24"/>
        </w:rPr>
      </w:pPr>
      <w:r>
        <w:rPr>
          <w:rFonts w:hint="eastAsia" w:ascii="宋体" w:hAnsi="宋体" w:eastAsia="宋体" w:cs="宋体"/>
          <w:b/>
          <w:bCs/>
          <w:color w:val="auto"/>
          <w:sz w:val="24"/>
          <w:szCs w:val="24"/>
        </w:rPr>
        <w:t>三、鲜切药材</w:t>
      </w:r>
      <w:r>
        <w:rPr>
          <w:rFonts w:hint="eastAsia" w:ascii="宋体" w:hAnsi="宋体" w:eastAsia="宋体" w:cs="宋体"/>
          <w:b/>
          <w:bCs/>
          <w:color w:val="auto"/>
          <w:sz w:val="24"/>
          <w:szCs w:val="24"/>
          <w:lang w:val="en-US" w:eastAsia="zh-CN"/>
        </w:rPr>
        <w:t>质量</w:t>
      </w:r>
      <w:r>
        <w:rPr>
          <w:rFonts w:hint="eastAsia" w:ascii="宋体" w:hAnsi="宋体" w:eastAsia="宋体" w:cs="宋体"/>
          <w:b/>
          <w:bCs/>
          <w:color w:val="auto"/>
          <w:sz w:val="24"/>
          <w:szCs w:val="24"/>
        </w:rPr>
        <w:t xml:space="preserve">标准要求  </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1. 鲜切药材</w:t>
      </w:r>
      <w:r>
        <w:rPr>
          <w:rFonts w:hint="eastAsia" w:ascii="宋体" w:hAnsi="宋体" w:eastAsia="宋体" w:cs="宋体"/>
          <w:b/>
          <w:bCs/>
          <w:color w:val="auto"/>
          <w:sz w:val="24"/>
          <w:szCs w:val="24"/>
        </w:rPr>
        <w:t xml:space="preserve">名称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auto"/>
          <w:sz w:val="24"/>
          <w:szCs w:val="24"/>
        </w:rPr>
        <w:t>鲜切药材名称应当参照《中国药品通用名称命名原则》有关规定命名，应当与《中国药典》</w:t>
      </w:r>
      <w:r>
        <w:rPr>
          <w:rFonts w:hint="eastAsia" w:ascii="宋体" w:hAnsi="宋体" w:eastAsia="宋体" w:cs="宋体"/>
          <w:color w:val="auto"/>
          <w:sz w:val="24"/>
          <w:szCs w:val="24"/>
          <w:lang w:val="en-US" w:eastAsia="zh-CN"/>
        </w:rPr>
        <w:t>2025年版</w:t>
      </w:r>
      <w:r>
        <w:rPr>
          <w:rFonts w:hint="eastAsia" w:ascii="宋体" w:hAnsi="宋体" w:eastAsia="宋体" w:cs="宋体"/>
          <w:color w:val="auto"/>
          <w:sz w:val="24"/>
          <w:szCs w:val="24"/>
        </w:rPr>
        <w:t>等国家药品标准或者《</w:t>
      </w:r>
      <w:r>
        <w:rPr>
          <w:rFonts w:hint="eastAsia" w:ascii="宋体" w:hAnsi="宋体" w:eastAsia="宋体" w:cs="宋体"/>
          <w:color w:val="auto"/>
          <w:sz w:val="24"/>
          <w:szCs w:val="24"/>
          <w:lang w:val="en-US" w:eastAsia="zh-CN"/>
        </w:rPr>
        <w:t>宁夏</w:t>
      </w:r>
      <w:r>
        <w:rPr>
          <w:rFonts w:hint="eastAsia" w:ascii="宋体" w:hAnsi="宋体" w:eastAsia="宋体" w:cs="宋体"/>
          <w:color w:val="auto"/>
          <w:sz w:val="24"/>
          <w:szCs w:val="24"/>
        </w:rPr>
        <w:t>中药材标准》</w:t>
      </w:r>
      <w:r>
        <w:rPr>
          <w:rFonts w:hint="eastAsia" w:ascii="宋体" w:hAnsi="宋体" w:eastAsia="宋体" w:cs="宋体"/>
          <w:color w:val="auto"/>
          <w:sz w:val="24"/>
          <w:szCs w:val="24"/>
          <w:lang w:val="en-US" w:eastAsia="zh-CN"/>
        </w:rPr>
        <w:t>2018年版</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宁夏中药</w:t>
      </w:r>
      <w:r>
        <w:rPr>
          <w:rFonts w:hint="eastAsia" w:ascii="宋体" w:hAnsi="宋体" w:eastAsia="宋体" w:cs="宋体"/>
          <w:color w:val="auto"/>
          <w:sz w:val="24"/>
          <w:szCs w:val="24"/>
        </w:rPr>
        <w:t>饮片炮制规范》</w:t>
      </w:r>
      <w:r>
        <w:rPr>
          <w:rFonts w:hint="eastAsia" w:ascii="宋体" w:hAnsi="宋体" w:eastAsia="宋体" w:cs="宋体"/>
          <w:color w:val="auto"/>
          <w:sz w:val="24"/>
          <w:szCs w:val="24"/>
          <w:lang w:val="en-US" w:eastAsia="zh-CN"/>
        </w:rPr>
        <w:t>2017年版</w:t>
      </w:r>
      <w:r>
        <w:rPr>
          <w:rFonts w:hint="eastAsia" w:ascii="宋体" w:hAnsi="宋体" w:eastAsia="宋体" w:cs="宋体"/>
          <w:color w:val="auto"/>
          <w:sz w:val="24"/>
          <w:szCs w:val="24"/>
        </w:rPr>
        <w:t>收载的名称一致，并表明鲜</w:t>
      </w:r>
      <w:r>
        <w:rPr>
          <w:rFonts w:hint="eastAsia" w:ascii="宋体" w:hAnsi="宋体" w:eastAsia="宋体" w:cs="宋体"/>
          <w:color w:val="auto"/>
          <w:sz w:val="24"/>
          <w:szCs w:val="24"/>
          <w:lang w:val="en-US" w:eastAsia="zh-CN"/>
        </w:rPr>
        <w:t>切</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 xml:space="preserve">2.前言、范围、规范性引用文件、术语和定义  </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2.1 </w:t>
      </w:r>
      <w:r>
        <w:rPr>
          <w:rFonts w:hint="eastAsia" w:ascii="宋体" w:hAnsi="宋体" w:eastAsia="宋体" w:cs="宋体"/>
          <w:b/>
          <w:bCs/>
          <w:color w:val="auto"/>
          <w:sz w:val="24"/>
          <w:szCs w:val="24"/>
        </w:rPr>
        <w:t>前言：</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明确标准的提出及起草单位和</w:t>
      </w:r>
      <w:r>
        <w:rPr>
          <w:rFonts w:hint="eastAsia" w:ascii="宋体" w:hAnsi="宋体" w:eastAsia="宋体" w:cs="宋体"/>
          <w:color w:val="auto"/>
          <w:sz w:val="24"/>
          <w:szCs w:val="24"/>
          <w:lang w:val="en-US" w:eastAsia="zh-CN"/>
        </w:rPr>
        <w:t>参加起草单位（如有）</w:t>
      </w:r>
      <w:r>
        <w:rPr>
          <w:rFonts w:hint="eastAsia" w:ascii="宋体" w:hAnsi="宋体" w:eastAsia="宋体" w:cs="宋体"/>
          <w:color w:val="auto"/>
          <w:sz w:val="24"/>
          <w:szCs w:val="24"/>
        </w:rPr>
        <w:t xml:space="preserve">等。  </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2.2</w:t>
      </w:r>
      <w:r>
        <w:rPr>
          <w:rFonts w:hint="eastAsia" w:ascii="宋体" w:hAnsi="宋体" w:eastAsia="宋体" w:cs="宋体"/>
          <w:b/>
          <w:bCs/>
          <w:color w:val="auto"/>
          <w:sz w:val="24"/>
          <w:szCs w:val="24"/>
        </w:rPr>
        <w:t>范围：</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对标准规定的具体内容及其适用范围界定的原则和方法等进行具体解释说明，也应当根据标准内容对于不适用方面做具体解释说明。  </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2.3</w:t>
      </w:r>
      <w:r>
        <w:rPr>
          <w:rFonts w:hint="eastAsia" w:ascii="宋体" w:hAnsi="宋体" w:eastAsia="宋体" w:cs="宋体"/>
          <w:b/>
          <w:bCs/>
          <w:color w:val="auto"/>
          <w:sz w:val="24"/>
          <w:szCs w:val="24"/>
        </w:rPr>
        <w:t>规范性引用文件：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应当列出标准中规范性引用文件的清单，其排列顺序为：国家药品标准、省级地方标准、行业标准、国际标准或文件、其他国际标准或文件。法规不应当作为规范性引用文件。  </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2.4术语和定义：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写出标准中出现的需要说明的术语和定义。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lang w:val="en-US" w:eastAsia="zh-CN"/>
        </w:rPr>
      </w:pPr>
      <w:r>
        <w:rPr>
          <w:rFonts w:hint="eastAsia" w:ascii="宋体" w:hAnsi="宋体" w:eastAsia="宋体" w:cs="宋体"/>
          <w:color w:val="auto"/>
          <w:sz w:val="24"/>
          <w:szCs w:val="24"/>
          <w:lang w:val="en-US" w:eastAsia="zh-CN"/>
        </w:rPr>
        <w:t>基原：写出适用于标准的基原名称。基原名称应当包括正确的中文名、拉丁学名。植物名称（正名、拉丁名）原则上参考《中国药典》等质量标准与参考书。</w:t>
      </w:r>
      <w:r>
        <w:rPr>
          <w:rFonts w:hint="eastAsia" w:ascii="宋体" w:hAnsi="宋体" w:eastAsia="宋体" w:cs="宋体"/>
          <w:color w:val="FF0000"/>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术语：使用规范的自然科学名词术语，以全国自然科学名词审定委员会公布的规范名词为准。 </w:t>
      </w:r>
    </w:p>
    <w:p>
      <w:pPr>
        <w:spacing w:line="540" w:lineRule="exact"/>
        <w:ind w:firstLine="481" w:firstLineChars="200"/>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 xml:space="preserve">鲜切药材标准内容 </w:t>
      </w:r>
      <w:r>
        <w:rPr>
          <w:rFonts w:hint="eastAsia" w:ascii="宋体" w:hAnsi="宋体" w:eastAsia="宋体" w:cs="宋体"/>
          <w:color w:val="auto"/>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质量要求应（按照）参照《中国药典》2025年版、《宁夏中药炮制规范》2017年版等标准制定，至少包括来源、产地加工工艺流程与技术要求、性状、鉴别、检查（杂质、水分、总灰分）、浸出物、含量测定、功能与主治、用法与用量、贮藏等项目。</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1.来源：</w:t>
      </w:r>
      <w:r>
        <w:rPr>
          <w:rFonts w:hint="eastAsia" w:ascii="宋体" w:hAnsi="宋体" w:eastAsia="宋体" w:cs="宋体"/>
          <w:color w:val="auto"/>
          <w:sz w:val="24"/>
          <w:szCs w:val="24"/>
          <w:lang w:val="en-US" w:eastAsia="zh-CN"/>
        </w:rPr>
        <w:t xml:space="preserve">鲜切药材来源包括基原（单基原或多基原）即原植（动）物的中文名、拉丁学名、药用部位、采收季节等。  </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2.产地加工工艺：</w:t>
      </w:r>
      <w:r>
        <w:rPr>
          <w:rFonts w:hint="eastAsia" w:ascii="宋体" w:hAnsi="宋体" w:eastAsia="宋体" w:cs="宋体"/>
          <w:color w:val="auto"/>
          <w:sz w:val="24"/>
          <w:szCs w:val="24"/>
          <w:lang w:val="en-US" w:eastAsia="zh-CN"/>
        </w:rPr>
        <w:t>按照实际生产过程描述。</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3.性状：</w:t>
      </w:r>
      <w:r>
        <w:rPr>
          <w:rFonts w:hint="eastAsia" w:ascii="宋体" w:hAnsi="宋体" w:eastAsia="宋体" w:cs="宋体"/>
          <w:color w:val="auto"/>
          <w:sz w:val="24"/>
          <w:szCs w:val="24"/>
          <w:lang w:val="en-US" w:eastAsia="zh-CN"/>
        </w:rPr>
        <w:t>按实际形态描述主要特征，尤其注意鲜切药材因趁鲜加工所引起的部分形态改变；包括形状、大小（长度/厚度、直径）、颜色、表面特征等。</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4.鉴别：</w:t>
      </w:r>
      <w:r>
        <w:rPr>
          <w:rFonts w:hint="eastAsia" w:ascii="宋体" w:hAnsi="宋体" w:eastAsia="宋体" w:cs="宋体"/>
          <w:color w:val="auto"/>
          <w:sz w:val="24"/>
          <w:szCs w:val="24"/>
          <w:lang w:val="en-US" w:eastAsia="zh-CN"/>
        </w:rPr>
        <w:t>参照《中国药典》2025年版、《宁夏中药材标准》2018年版、《宁夏中药材炮制规范》2017年版等标准的要求制定，包括显微鉴定、理化鉴定、色谱鉴定及其他鉴定，但均应具有专属性。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（1）显微鉴别 应当选择容易观察、具有鉴别意义的专属特征列入质量标准；应按照《中国药典》显微鉴别的收录原则、书写顺序和方法进行规范描述。因趁鲜切制加工引起的特征改变也应列出描述。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（2）理化鉴别 包括一般理化鉴别、荧光鉴别及光谱鉴别等方法。中药成分复杂，应根据所含成分的化学性质选择适宜的专属性方法，并说明选择依据。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（3）薄层色谱鉴别 应当能反映鲜切药材的整体特性并尽可能区分正品不同基原及混伪品；应当明确对照品的选择及其溶液的制备、供试品溶液的制备、点样量、薄层板、展开剂、展开条件（温度、相对湿度、饱和平衡时间等）、检视方法等，说明鉴别方法、鉴别指标成分或专属性成分的选择依据。</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5.检查：</w:t>
      </w:r>
      <w:r>
        <w:rPr>
          <w:rFonts w:hint="eastAsia" w:ascii="宋体" w:hAnsi="宋体" w:eastAsia="宋体" w:cs="宋体"/>
          <w:color w:val="auto"/>
          <w:sz w:val="24"/>
          <w:szCs w:val="24"/>
          <w:lang w:val="en-US" w:eastAsia="zh-CN"/>
        </w:rPr>
        <w:t>参照《中国药典》2025年版四部通则中药材项下及该鲜切药材的特性制定检查项，一般包括杂质、水分、灰分、酸不溶性灰分、二氧化硫、内源性有毒有害物质、外源性有毒有害物质等的检查。注重中药安全性检测方法和指标的建立和完善，加强对重金属及有害元素、残留农药、二氧化硫、真菌毒素、生长调节剂等外源性有害物质的检查。</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6.浸出物：</w:t>
      </w:r>
      <w:r>
        <w:rPr>
          <w:rFonts w:hint="eastAsia" w:ascii="宋体" w:hAnsi="宋体" w:eastAsia="宋体" w:cs="宋体"/>
          <w:color w:val="auto"/>
          <w:sz w:val="24"/>
          <w:szCs w:val="24"/>
          <w:lang w:val="en-US" w:eastAsia="zh-CN"/>
        </w:rPr>
        <w:t>按鲜切药材的有效成分或指标性成分参照《中国药典》相关要求建立浸出物测定方法，并对溶剂、浸出方法等作必要的考察，根据品种具体研究数据制定限度，限度可严于原标准该品种项下的规定。</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7.含量测定：</w:t>
      </w:r>
      <w:r>
        <w:rPr>
          <w:rFonts w:hint="eastAsia" w:ascii="宋体" w:hAnsi="宋体" w:eastAsia="宋体" w:cs="宋体"/>
          <w:color w:val="auto"/>
          <w:sz w:val="24"/>
          <w:szCs w:val="24"/>
          <w:lang w:val="en-US" w:eastAsia="zh-CN"/>
        </w:rPr>
        <w:t>按鲜切药材的有效成分或指标性成分建立含量测定方法，方法需经济、简便、可有效的控制鲜切药材的质量，含量测定需制定下限，限度的制定应有充分的依据和数据积累。</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8.贮藏：</w:t>
      </w:r>
      <w:r>
        <w:rPr>
          <w:rFonts w:hint="eastAsia" w:ascii="宋体" w:hAnsi="宋体" w:eastAsia="宋体" w:cs="宋体"/>
          <w:color w:val="auto"/>
          <w:sz w:val="24"/>
          <w:szCs w:val="24"/>
          <w:lang w:val="en-US" w:eastAsia="zh-CN"/>
        </w:rPr>
        <w:t xml:space="preserve">确定鲜切药材的贮藏条件。 </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9.性味与归经、功能与主治、用法与用量：</w:t>
      </w:r>
      <w:r>
        <w:rPr>
          <w:rFonts w:hint="eastAsia" w:ascii="宋体" w:hAnsi="宋体" w:eastAsia="宋体" w:cs="宋体"/>
          <w:color w:val="auto"/>
          <w:sz w:val="24"/>
          <w:szCs w:val="24"/>
          <w:lang w:val="en-US" w:eastAsia="zh-CN"/>
        </w:rPr>
        <w:t xml:space="preserve">需参照《中国药典》2025年版、《宁夏中药材标准》2018年版、《宁夏中药材炮制规范》2017年版等标准的要求制定， </w:t>
      </w:r>
    </w:p>
    <w:p>
      <w:pPr>
        <w:keepNext w:val="0"/>
        <w:keepLines w:val="0"/>
        <w:pageBreakBefore w:val="0"/>
        <w:widowControl w:val="0"/>
        <w:kinsoku/>
        <w:wordWrap/>
        <w:overflowPunct/>
        <w:topLinePunct w:val="0"/>
        <w:autoSpaceDE/>
        <w:autoSpaceDN/>
        <w:bidi w:val="0"/>
        <w:adjustRightInd/>
        <w:snapToGrid/>
        <w:spacing w:line="360" w:lineRule="auto"/>
        <w:ind w:firstLine="481"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五、鲜切药材质量标准</w:t>
      </w:r>
      <w:r>
        <w:rPr>
          <w:rFonts w:hint="eastAsia" w:ascii="宋体" w:hAnsi="宋体" w:eastAsia="宋体" w:cs="宋体"/>
          <w:b/>
          <w:bCs/>
          <w:color w:val="auto"/>
          <w:sz w:val="24"/>
          <w:szCs w:val="24"/>
        </w:rPr>
        <w:t xml:space="preserve">起草说明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应当充分反映</w:t>
      </w:r>
      <w:r>
        <w:rPr>
          <w:rFonts w:hint="eastAsia" w:ascii="宋体" w:hAnsi="宋体" w:eastAsia="宋体" w:cs="宋体"/>
          <w:color w:val="auto"/>
          <w:sz w:val="24"/>
          <w:szCs w:val="24"/>
          <w:lang w:val="en-US" w:eastAsia="zh-CN"/>
        </w:rPr>
        <w:t>标准起草</w:t>
      </w:r>
      <w:r>
        <w:rPr>
          <w:rFonts w:hint="eastAsia" w:ascii="宋体" w:hAnsi="宋体" w:eastAsia="宋体" w:cs="宋体"/>
          <w:color w:val="auto"/>
          <w:sz w:val="24"/>
          <w:szCs w:val="24"/>
        </w:rPr>
        <w:t>的全过程，主要内容包括：标准编制概况、标准编制过程（样品收集、研究方法、研究结果以及必要的数据、彩色图片、参考文献）</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对比趁鲜切制药材与传统加工药材质量指标变化情况、三批次生产工艺验证与试验数据、鲜切药材加工企业检验报告、其他相关资料等信息。</w:t>
      </w:r>
      <w:r>
        <w:rPr>
          <w:rFonts w:hint="eastAsia" w:ascii="宋体" w:hAnsi="宋体" w:eastAsia="宋体" w:cs="宋体"/>
          <w:color w:val="auto"/>
          <w:sz w:val="24"/>
          <w:szCs w:val="24"/>
          <w:lang w:val="en-US" w:eastAsia="zh-CN"/>
        </w:rPr>
        <w:t>应参照《国家药品标准工作手册》（第四版）“国家药品标准（中药）起草说明编写细则”书写</w:t>
      </w:r>
      <w:r>
        <w:rPr>
          <w:rFonts w:hint="eastAsia" w:ascii="宋体" w:hAnsi="宋体" w:eastAsia="宋体" w:cs="宋体"/>
          <w:color w:val="auto"/>
          <w:sz w:val="24"/>
          <w:szCs w:val="24"/>
        </w:rPr>
        <w:t>。</w:t>
      </w:r>
      <w:bookmarkStart w:id="1" w:name="_GoBack"/>
      <w:bookmarkEnd w:id="1"/>
    </w:p>
    <w:sectPr>
      <w:footerReference r:id="rId5" w:type="default"/>
      <w:pgSz w:w="11906" w:h="16838"/>
      <w:pgMar w:top="1440" w:right="1576"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83" w:usb1="288F0000" w:usb2="00000006" w:usb3="00000000" w:csb0="00040001" w:csb1="00000000"/>
  </w:font>
  <w:font w:name="仿宋_GB2312">
    <w:panose1 w:val="00000000000000000000"/>
    <w:charset w:val="86"/>
    <w:family w:val="auto"/>
    <w:pitch w:val="default"/>
    <w:sig w:usb0="00000000" w:usb1="00000000" w:usb2="00000000" w:usb3="00000000" w:csb0="00000000" w:csb1="00000000"/>
  </w:font>
  <w:font w:name="文泉驿正黑">
    <w:panose1 w:val="02000603000000000000"/>
    <w:charset w:val="86"/>
    <w:family w:val="auto"/>
    <w:pitch w:val="default"/>
    <w:sig w:usb0="900002BF" w:usb1="2BDF7DFB" w:usb2="00000036" w:usb3="00000000" w:csb0="603E000D" w:csb1="D2D7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2n+0FHQIAACsEAAAOAAAAZHJz&#10;L2Uyb0RvYy54bWytU82O0zAQviPxDpbvNGlXrKqq6arsqgipYlcqiLPrOE0k/8l2m5QHgDfgxIU7&#10;z9Xn2M9u0iLghLjYM57x/HzzzfyuU5IchPON0QUdj3JKhOambPSuoB8/rF5NKfGB6ZJJo0VBj8LT&#10;u8XLF/PWzsTE1EaWwhEE0X7W2oLWIdhZlnleC8X8yFihYayMUyxAdbusdKxFdCWzSZ7fZq1xpXWG&#10;C+/x+nA20kWKX1WCh8eq8iIQWVDUFtLp0rmNZ7aYs9nOMVs3vC+D/UMVijUaSS+hHlhgZO+aP0Kp&#10;hjvjTRVG3KjMVFXDReoB3Yzz37rZ1MyK1AvA8fYCk/9/Yfn7w5MjTVnQyQ0lminM6PTt6+n7z9OP&#10;LwRvAKi1fga/jYVn6N6YrqDB7cVg8niPrXeVU/FGUwQuQPt4QVh0gXA8jqeT6TSHicM2KEiRXb9b&#10;58NbYRSJQkEdRpiQZYe1D2fXwSVm02bVSJnGKDVpC3p78zpPHy4WBJcaOWIf52KjFLpt1ze3NeUR&#10;vTlzpoe3fNUg+Zr58MQc+ICCwfHwiKOSBklML1FSG/f5b+/RH2OClZIW/CqoxgJQIt9pjC9ScRDc&#10;IGwHQe/VvQFhx9gdy5OIDy7IQaycUZ9A/GXMUTHpEZhpjmwYzSDeB2i9EQvExXJ50ffWNbv6+hlk&#10;tCys9cbyfrgRW2+X+wB8E+wRszNQPZRgZBpcvz2R8r/qyeu644t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af7QUdAgAAKwQAAA4AAAAAAAAAAQAgAAAANQEAAGRycy9lMm9Eb2MueG1sUEsF&#10;BgAAAAAGAAYAWQEAAMQ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7177E"/>
    <w:rsid w:val="05104DC8"/>
    <w:rsid w:val="12D13ED5"/>
    <w:rsid w:val="271B0BF0"/>
    <w:rsid w:val="272C54FC"/>
    <w:rsid w:val="30AF7F2F"/>
    <w:rsid w:val="317B293A"/>
    <w:rsid w:val="375822D3"/>
    <w:rsid w:val="411F2AC0"/>
    <w:rsid w:val="41E57B4F"/>
    <w:rsid w:val="46787C5C"/>
    <w:rsid w:val="4FB36FB8"/>
    <w:rsid w:val="506F7733"/>
    <w:rsid w:val="57601D7C"/>
    <w:rsid w:val="5C7963A7"/>
    <w:rsid w:val="60D11DB3"/>
    <w:rsid w:val="64814B6B"/>
    <w:rsid w:val="6B3F33E6"/>
    <w:rsid w:val="6B9B4FC9"/>
    <w:rsid w:val="6C6E48EB"/>
    <w:rsid w:val="70A756A4"/>
    <w:rsid w:val="71735F4E"/>
    <w:rsid w:val="75F70BFC"/>
    <w:rsid w:val="7CB16471"/>
    <w:rsid w:val="7D617181"/>
    <w:rsid w:val="7F9C326C"/>
    <w:rsid w:val="7FF7EE85"/>
    <w:rsid w:val="9F7EBB27"/>
    <w:rsid w:val="9FFF8A4D"/>
    <w:rsid w:val="CB3C8C9F"/>
    <w:rsid w:val="FBF2F11F"/>
    <w:rsid w:val="FE7B1F64"/>
    <w:rsid w:val="FED7E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rFonts w:ascii="Calibri" w:hAnsi="Calibri" w:eastAsia="宋体" w:cs="Times New Roman"/>
      <w:sz w:val="21"/>
      <w:szCs w:val="24"/>
    </w:r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BodyText"/>
    <w:basedOn w:val="1"/>
    <w:qFormat/>
    <w:uiPriority w:val="0"/>
    <w:pPr>
      <w:autoSpaceDE w:val="0"/>
      <w:autoSpaceDN w:val="0"/>
      <w:spacing w:before="0" w:after="0" w:line="240" w:lineRule="auto"/>
      <w:ind w:left="0" w:right="0"/>
      <w:jc w:val="left"/>
    </w:pPr>
    <w:rPr>
      <w:rFonts w:ascii="宋体" w:hAnsi="宋体" w:eastAsia="仿宋" w:cs="宋体"/>
      <w:kern w:val="0"/>
      <w:sz w:val="22"/>
      <w:szCs w:val="22"/>
      <w:lang w:val="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2186</Words>
  <Characters>2253</Characters>
  <Lines>0</Lines>
  <Paragraphs>0</Paragraphs>
  <TotalTime>20</TotalTime>
  <ScaleCrop>false</ScaleCrop>
  <LinksUpToDate>false</LinksUpToDate>
  <CharactersWithSpaces>2365</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2026-07-07T02:05:00Z</dcterms:created>
  <dc:creator>Administrator</dc:creator>
  <cp:lastModifiedBy>admin</cp:lastModifiedBy>
  <cp:lastPrinted>2026-07-16T01:53:00Z</cp:lastPrinted>
  <dcterms:modified xsi:type="dcterms:W3CDTF">2026-09-17T08:48:47Z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KSOTemplateDocerSaveRecord">
    <vt:lpwstr>eyJoZGlkIjoiNjJmYzBhMjczNWJhNGM3NWFhODcxMzhhYzIxN2YyYjciLCJ1c2VySWQiOiIxMzA1NDI3ODY3In0=</vt:lpwstr>
  </property>
  <property fmtid="{D5CDD505-2E9C-101B-9397-08002B2CF9AE}" pid="4" name="ICV">
    <vt:lpwstr>FAAD5AC49DDD4AF2B58CBB2303452876_12</vt:lpwstr>
  </property>
</Properties>
</file>