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spacing w:before="231" w:line="187" w:lineRule="auto"/>
        <w:ind w:left="650"/>
        <w:rPr>
          <w:rFonts w:ascii="微软雅黑" w:hAnsi="微软雅黑" w:eastAsia="微软雅黑" w:cs="微软雅黑"/>
          <w:sz w:val="52"/>
          <w:szCs w:val="52"/>
        </w:rPr>
      </w:pPr>
      <w:r>
        <w:rPr>
          <w:rFonts w:hint="eastAsia" w:ascii="微软雅黑" w:hAnsi="微软雅黑" w:eastAsia="微软雅黑" w:cs="微软雅黑"/>
          <w:color w:val="231F20"/>
          <w:spacing w:val="17"/>
          <w:sz w:val="52"/>
          <w:szCs w:val="52"/>
          <w:lang w:val="en-US" w:eastAsia="zh-CN"/>
        </w:rPr>
        <w:t>宁夏</w:t>
      </w:r>
      <w:r>
        <w:rPr>
          <w:rFonts w:ascii="微软雅黑" w:hAnsi="微软雅黑" w:eastAsia="微软雅黑" w:cs="微软雅黑"/>
          <w:color w:val="231F20"/>
          <w:spacing w:val="17"/>
          <w:sz w:val="52"/>
          <w:szCs w:val="52"/>
        </w:rPr>
        <w:t>中药材产地</w:t>
      </w:r>
      <w:r>
        <w:rPr>
          <w:rFonts w:hint="eastAsia" w:ascii="微软雅黑" w:hAnsi="微软雅黑" w:eastAsia="微软雅黑" w:cs="微软雅黑"/>
          <w:color w:val="231F20"/>
          <w:spacing w:val="17"/>
          <w:sz w:val="52"/>
          <w:szCs w:val="52"/>
          <w:lang w:val="en-US" w:eastAsia="zh-CN"/>
        </w:rPr>
        <w:t>鲜切</w:t>
      </w:r>
      <w:r>
        <w:rPr>
          <w:rFonts w:ascii="微软雅黑" w:hAnsi="微软雅黑" w:eastAsia="微软雅黑" w:cs="微软雅黑"/>
          <w:color w:val="231F20"/>
          <w:spacing w:val="17"/>
          <w:sz w:val="52"/>
          <w:szCs w:val="52"/>
        </w:rPr>
        <w:t>生产加工标准</w:t>
      </w:r>
    </w:p>
    <w:p>
      <w:pPr>
        <w:pStyle w:val="2"/>
        <w:spacing w:line="283" w:lineRule="auto"/>
        <w:rPr>
          <w:sz w:val="52"/>
          <w:szCs w:val="52"/>
        </w:rPr>
      </w:pPr>
    </w:p>
    <w:p>
      <w:pPr>
        <w:pStyle w:val="2"/>
        <w:spacing w:line="244" w:lineRule="auto"/>
      </w:pPr>
      <w:r>
        <mc:AlternateContent>
          <mc:Choice Requires="wps">
            <w:drawing>
              <wp:anchor distT="0" distB="0" distL="114300" distR="114300" simplePos="0" relativeHeight="251661312" behindDoc="0" locked="0" layoutInCell="1" allowOverlap="1">
                <wp:simplePos x="0" y="0"/>
                <wp:positionH relativeFrom="column">
                  <wp:posOffset>11430</wp:posOffset>
                </wp:positionH>
                <wp:positionV relativeFrom="paragraph">
                  <wp:posOffset>146685</wp:posOffset>
                </wp:positionV>
                <wp:extent cx="5760085" cy="7620"/>
                <wp:effectExtent l="0" t="0" r="0" b="0"/>
                <wp:wrapNone/>
                <wp:docPr id="4" name="任意多边形 4"/>
                <wp:cNvGraphicFramePr/>
                <a:graphic xmlns:a="http://schemas.openxmlformats.org/drawingml/2006/main">
                  <a:graphicData uri="http://schemas.microsoft.com/office/word/2010/wordprocessingShape">
                    <wps:wsp>
                      <wps:cNvSpPr/>
                      <wps:spPr>
                        <a:xfrm>
                          <a:off x="0" y="0"/>
                          <a:ext cx="5760085" cy="7620"/>
                        </a:xfrm>
                        <a:custGeom>
                          <a:avLst/>
                          <a:gdLst/>
                          <a:ahLst/>
                          <a:cxnLst/>
                          <a:pathLst>
                            <a:path w="9070" h="12">
                              <a:moveTo>
                                <a:pt x="0" y="5"/>
                              </a:moveTo>
                              <a:lnTo>
                                <a:pt x="9070" y="5"/>
                              </a:lnTo>
                            </a:path>
                          </a:pathLst>
                        </a:custGeom>
                        <a:noFill/>
                        <a:ln w="7239" cap="flat" cmpd="sng">
                          <a:solidFill>
                            <a:srgbClr val="231F20"/>
                          </a:solidFill>
                          <a:prstDash val="solid"/>
                          <a:miter lim="400000"/>
                          <a:headEnd type="none" w="med" len="med"/>
                          <a:tailEnd type="none" w="med" len="med"/>
                        </a:ln>
                      </wps:spPr>
                      <wps:bodyPr upright="false"/>
                    </wps:wsp>
                  </a:graphicData>
                </a:graphic>
              </wp:anchor>
            </w:drawing>
          </mc:Choice>
          <mc:Fallback>
            <w:pict>
              <v:shape id="_x0000_s1026" o:spid="_x0000_s1026" o:spt="100" style="position:absolute;left:0pt;margin-left:0.9pt;margin-top:11.55pt;height:0.6pt;width:453.55pt;z-index:251661312;mso-width-relative:page;mso-height-relative:page;" filled="f" stroked="t" coordsize="9070,12" o:gfxdata="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&#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BYAAABkcnMvUEsBAhQAFAAAAAgAh07iQBMXcGrUAAAABwEAAA8AAAAAAAAAAQAgAAAAOAAAAGRy&#10;cy9kb3ducmV2LnhtbFBLAQIUABQAAAAIAIdO4kCqJQQTLAIAAFkEAAAOAAAAAAAAAAEAIAAAADkB&#10;AABkcnMvZTJvRG9jLnhtbFBLBQYAAAAABgAGAFkBAADXBQAAAAA=&#10;" path="m0,5l9070,5e">
                <v:fill on="f" focussize="0,0"/>
                <v:stroke weight="0.57pt" color="#231F20" miterlimit="4" joinstyle="miter"/>
                <v:imagedata o:title=""/>
                <o:lock v:ext="edit" aspectratio="f"/>
              </v:shape>
            </w:pict>
          </mc:Fallback>
        </mc:AlternateContent>
      </w:r>
    </w:p>
    <w:p>
      <w:pPr>
        <w:pStyle w:val="2"/>
        <w:spacing w:line="244" w:lineRule="auto"/>
      </w:pPr>
    </w:p>
    <w:p>
      <w:pPr>
        <w:pStyle w:val="2"/>
        <w:spacing w:line="244"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2"/>
        <w:spacing w:line="245" w:lineRule="auto"/>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480"/>
        <w:jc w:val="center"/>
        <w:rPr>
          <w:rFonts w:hint="eastAsia" w:ascii="宋体" w:hAnsi="宋体" w:eastAsia="宋体" w:cs="宋体"/>
          <w:b/>
          <w:bCs/>
          <w:color w:val="auto"/>
          <w:sz w:val="36"/>
          <w:szCs w:val="36"/>
          <w:lang w:val="en-US" w:eastAsia="zh-CN"/>
        </w:rPr>
      </w:pPr>
      <w:r>
        <w:rPr>
          <w:rFonts w:hint="eastAsia" w:ascii="宋体" w:hAnsi="宋体" w:eastAsia="宋体" w:cs="宋体"/>
          <w:b/>
          <w:bCs/>
          <w:i w:val="0"/>
          <w:iCs w:val="0"/>
          <w:caps w:val="0"/>
          <w:color w:val="auto"/>
          <w:spacing w:val="0"/>
          <w:sz w:val="36"/>
          <w:szCs w:val="36"/>
          <w:shd w:val="clear" w:fill="FFFFFF"/>
          <w:lang w:val="en-US" w:eastAsia="zh-CN"/>
        </w:rPr>
        <w:t>宁夏</w:t>
      </w:r>
      <w:r>
        <w:rPr>
          <w:rFonts w:hint="eastAsia" w:ascii="宋体" w:hAnsi="宋体" w:eastAsia="宋体" w:cs="宋体"/>
          <w:b/>
          <w:bCs/>
          <w:i w:val="0"/>
          <w:iCs w:val="0"/>
          <w:caps w:val="0"/>
          <w:color w:val="auto"/>
          <w:spacing w:val="0"/>
          <w:sz w:val="36"/>
          <w:szCs w:val="36"/>
          <w:shd w:val="clear" w:fill="FFFFFF"/>
        </w:rPr>
        <w:t>中药材产地趁鲜切制加工</w:t>
      </w:r>
      <w:r>
        <w:rPr>
          <w:rFonts w:hint="eastAsia" w:ascii="宋体" w:hAnsi="宋体" w:eastAsia="宋体" w:cs="宋体"/>
          <w:b/>
          <w:bCs/>
          <w:color w:val="auto"/>
          <w:sz w:val="36"/>
          <w:szCs w:val="36"/>
          <w:lang w:val="en-US" w:eastAsia="zh-CN"/>
        </w:rPr>
        <w:t>技术规范编制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480"/>
        <w:jc w:val="center"/>
        <w:rPr>
          <w:rFonts w:hint="eastAsia" w:ascii="宋体" w:hAnsi="宋体" w:eastAsia="宋体" w:cs="宋体"/>
          <w:b/>
          <w:bCs/>
          <w:i w:val="0"/>
          <w:iCs w:val="0"/>
          <w:caps w:val="0"/>
          <w:color w:val="auto"/>
          <w:spacing w:val="0"/>
          <w:sz w:val="36"/>
          <w:szCs w:val="36"/>
          <w:lang w:val="en-US" w:eastAsia="zh-CN"/>
        </w:rPr>
      </w:pPr>
      <w:r>
        <w:rPr>
          <w:rFonts w:hint="eastAsia" w:ascii="宋体" w:hAnsi="宋体" w:eastAsia="宋体" w:cs="宋体"/>
          <w:b/>
          <w:bCs/>
          <w:i w:val="0"/>
          <w:iCs w:val="0"/>
          <w:caps w:val="0"/>
          <w:color w:val="auto"/>
          <w:spacing w:val="0"/>
          <w:sz w:val="36"/>
          <w:szCs w:val="36"/>
          <w:shd w:val="clear" w:fill="FFFFFF"/>
        </w:rPr>
        <w:t>指导原则</w:t>
      </w:r>
      <w:r>
        <w:rPr>
          <w:rFonts w:hint="eastAsia" w:ascii="宋体" w:hAnsi="宋体" w:eastAsia="宋体" w:cs="宋体"/>
          <w:b/>
          <w:bCs/>
          <w:i w:val="0"/>
          <w:iCs w:val="0"/>
          <w:caps w:val="0"/>
          <w:color w:val="auto"/>
          <w:spacing w:val="0"/>
          <w:sz w:val="36"/>
          <w:szCs w:val="36"/>
          <w:shd w:val="clear" w:fill="FFFFFF"/>
          <w:lang w:val="en-US" w:eastAsia="zh-CN"/>
        </w:rPr>
        <w:t>与技术要求</w:t>
      </w:r>
    </w:p>
    <w:p>
      <w:pPr>
        <w:pStyle w:val="2"/>
        <w:spacing w:line="248" w:lineRule="auto"/>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480"/>
        <w:jc w:val="center"/>
        <w:rPr>
          <w:rFonts w:hint="eastAsia" w:ascii="宋体" w:hAnsi="宋体" w:eastAsia="宋体" w:cs="宋体"/>
          <w:b/>
          <w:bCs/>
          <w:i w:val="0"/>
          <w:iCs w:val="0"/>
          <w:caps w:val="0"/>
          <w:color w:val="333333"/>
          <w:spacing w:val="0"/>
          <w:sz w:val="30"/>
          <w:szCs w:val="30"/>
          <w:shd w:val="clear" w:fill="FFFFFF"/>
        </w:rPr>
      </w:pPr>
      <w:r>
        <w:rPr>
          <w:rFonts w:hint="eastAsia" w:ascii="宋体" w:hAnsi="宋体" w:eastAsia="宋体" w:cs="宋体"/>
          <w:b/>
          <w:bCs/>
          <w:i w:val="0"/>
          <w:iCs w:val="0"/>
          <w:caps w:val="0"/>
          <w:color w:val="333333"/>
          <w:spacing w:val="0"/>
          <w:sz w:val="30"/>
          <w:szCs w:val="30"/>
          <w:shd w:val="clear" w:fill="FFFFFF"/>
        </w:rPr>
        <w:t>（征求意见稿）</w:t>
      </w:r>
    </w:p>
    <w:p>
      <w:pPr>
        <w:pStyle w:val="2"/>
        <w:spacing w:line="248" w:lineRule="auto"/>
      </w:pPr>
    </w:p>
    <w:p>
      <w:pPr>
        <w:pStyle w:val="2"/>
        <w:spacing w:line="248" w:lineRule="auto"/>
      </w:pPr>
    </w:p>
    <w:p>
      <w:pPr>
        <w:pStyle w:val="2"/>
        <w:spacing w:line="248" w:lineRule="auto"/>
      </w:pPr>
    </w:p>
    <w:p>
      <w:pPr>
        <w:pStyle w:val="2"/>
        <w:spacing w:line="249" w:lineRule="auto"/>
      </w:pPr>
    </w:p>
    <w:p>
      <w:pPr>
        <w:pStyle w:val="2"/>
        <w:spacing w:line="249" w:lineRule="auto"/>
      </w:pPr>
    </w:p>
    <w:p>
      <w:pPr>
        <w:pStyle w:val="2"/>
        <w:spacing w:line="249" w:lineRule="auto"/>
      </w:pPr>
    </w:p>
    <w:p>
      <w:pPr>
        <w:pStyle w:val="2"/>
        <w:spacing w:line="249" w:lineRule="auto"/>
      </w:pPr>
    </w:p>
    <w:p>
      <w:pPr>
        <w:pStyle w:val="2"/>
        <w:spacing w:line="249" w:lineRule="auto"/>
      </w:pPr>
    </w:p>
    <w:p>
      <w:pPr>
        <w:pStyle w:val="2"/>
        <w:spacing w:line="249" w:lineRule="auto"/>
      </w:pPr>
    </w:p>
    <w:p>
      <w:pPr>
        <w:pStyle w:val="2"/>
        <w:spacing w:line="249" w:lineRule="auto"/>
      </w:pPr>
    </w:p>
    <w:p>
      <w:pPr>
        <w:pStyle w:val="2"/>
        <w:spacing w:line="249" w:lineRule="auto"/>
      </w:pPr>
    </w:p>
    <w:p>
      <w:pPr>
        <w:pStyle w:val="2"/>
        <w:spacing w:line="249" w:lineRule="auto"/>
      </w:pPr>
    </w:p>
    <w:p>
      <w:pPr>
        <w:pStyle w:val="2"/>
        <w:spacing w:line="249" w:lineRule="auto"/>
      </w:pPr>
    </w:p>
    <w:p>
      <w:pPr>
        <w:spacing w:before="101" w:line="408" w:lineRule="exact"/>
        <w:ind w:left="62" w:firstLine="1956" w:firstLineChars="600"/>
        <w:rPr>
          <w:rFonts w:ascii="黑体" w:hAnsi="黑体" w:eastAsia="黑体" w:cs="黑体"/>
          <w:sz w:val="31"/>
          <w:szCs w:val="31"/>
        </w:rPr>
      </w:pPr>
      <w:r>
        <w:rPr>
          <w:rFonts w:ascii="黑体" w:hAnsi="黑体" w:eastAsia="黑体" w:cs="黑体"/>
          <w:color w:val="231F20"/>
          <w:spacing w:val="8"/>
          <w:position w:val="1"/>
          <w:sz w:val="31"/>
          <w:szCs w:val="31"/>
        </w:rPr>
        <w:t xml:space="preserve">发布                   </w:t>
      </w:r>
      <w:r>
        <w:rPr>
          <w:rFonts w:ascii="黑体" w:hAnsi="黑体" w:eastAsia="黑体" w:cs="黑体"/>
          <w:color w:val="231F20"/>
          <w:spacing w:val="7"/>
          <w:position w:val="1"/>
          <w:sz w:val="31"/>
          <w:szCs w:val="31"/>
        </w:rPr>
        <w:t xml:space="preserve">        实施</w:t>
      </w:r>
    </w:p>
    <w:p>
      <w:pPr>
        <w:pStyle w:val="2"/>
        <w:spacing w:line="355" w:lineRule="auto"/>
      </w:pPr>
      <w:r>
        <mc:AlternateContent>
          <mc:Choice Requires="wps">
            <w:drawing>
              <wp:anchor distT="0" distB="0" distL="114300" distR="114300" simplePos="0" relativeHeight="251662336" behindDoc="0" locked="0" layoutInCell="1" allowOverlap="1">
                <wp:simplePos x="0" y="0"/>
                <wp:positionH relativeFrom="column">
                  <wp:posOffset>34925</wp:posOffset>
                </wp:positionH>
                <wp:positionV relativeFrom="paragraph">
                  <wp:posOffset>20955</wp:posOffset>
                </wp:positionV>
                <wp:extent cx="5713730" cy="7620"/>
                <wp:effectExtent l="0" t="0" r="0" b="0"/>
                <wp:wrapNone/>
                <wp:docPr id="5" name="任意多边形 5"/>
                <wp:cNvGraphicFramePr/>
                <a:graphic xmlns:a="http://schemas.openxmlformats.org/drawingml/2006/main">
                  <a:graphicData uri="http://schemas.microsoft.com/office/word/2010/wordprocessingShape">
                    <wps:wsp>
                      <wps:cNvSpPr/>
                      <wps:spPr>
                        <a:xfrm>
                          <a:off x="0" y="0"/>
                          <a:ext cx="5713730" cy="7620"/>
                        </a:xfrm>
                        <a:custGeom>
                          <a:avLst/>
                          <a:gdLst/>
                          <a:ahLst/>
                          <a:cxnLst/>
                          <a:pathLst>
                            <a:path w="8997" h="12">
                              <a:moveTo>
                                <a:pt x="0" y="5"/>
                              </a:moveTo>
                              <a:lnTo>
                                <a:pt x="8997" y="5"/>
                              </a:lnTo>
                            </a:path>
                          </a:pathLst>
                        </a:custGeom>
                        <a:noFill/>
                        <a:ln w="7239" cap="flat" cmpd="sng">
                          <a:solidFill>
                            <a:srgbClr val="231F20"/>
                          </a:solidFill>
                          <a:prstDash val="solid"/>
                          <a:miter lim="400000"/>
                          <a:headEnd type="none" w="med" len="med"/>
                          <a:tailEnd type="none" w="med" len="med"/>
                        </a:ln>
                      </wps:spPr>
                      <wps:bodyPr upright="true"/>
                    </wps:wsp>
                  </a:graphicData>
                </a:graphic>
              </wp:anchor>
            </w:drawing>
          </mc:Choice>
          <mc:Fallback>
            <w:pict>
              <v:shape id="_x0000_s1026" o:spid="_x0000_s1026" o:spt="100" style="position:absolute;left:0pt;margin-left:2.75pt;margin-top:1.65pt;height:0.6pt;width:449.9pt;z-index:251662336;mso-width-relative:page;mso-height-relative:page;" filled="f" stroked="t" coordsize="8997,12" o:gfxdata="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FgAAAGRycy9QSwECFAAUAAAACACHTuJAYpnEyNMAAAAFAQAADwAAAAAAAAABACAAAAA4AAAAZHJz&#10;L2Rvd25yZXYueG1sUEsBAhQAFAAAAAgAh07iQMeBy1QsAgAAWAQAAA4AAAAAAAAAAQAgAAAAOAEA&#10;AGRycy9lMm9Eb2MueG1sUEsFBgAAAAAGAAYAWQEAANYFAAAAAA==&#10;" path="m0,5l8997,5e">
                <v:fill on="f" focussize="0,0"/>
                <v:stroke weight="0.57pt" color="#231F20" miterlimit="4" joinstyle="miter"/>
                <v:imagedata o:title=""/>
                <o:lock v:ext="edit" aspectratio="f"/>
              </v:shape>
            </w:pict>
          </mc:Fallback>
        </mc:AlternateContent>
      </w:r>
    </w:p>
    <w:p>
      <w:pPr>
        <w:pStyle w:val="2"/>
        <w:spacing w:line="356" w:lineRule="auto"/>
      </w:pPr>
    </w:p>
    <w:p>
      <w:pPr>
        <w:spacing w:before="100" w:line="241" w:lineRule="auto"/>
        <w:ind w:left="1488" w:firstLine="1470" w:firstLineChars="500"/>
        <w:rPr>
          <w:rFonts w:ascii="黑体" w:hAnsi="黑体" w:eastAsia="黑体" w:cs="黑体"/>
          <w:sz w:val="23"/>
          <w:szCs w:val="23"/>
        </w:rPr>
      </w:pPr>
      <w:r>
        <w:rPr>
          <w:rFonts w:hint="eastAsia" w:ascii="黑体" w:hAnsi="黑体" w:eastAsia="黑体" w:cs="黑体"/>
          <w:color w:val="231F20"/>
          <w:spacing w:val="-8"/>
          <w:sz w:val="31"/>
          <w:szCs w:val="31"/>
          <w:lang w:val="en-US" w:eastAsia="zh-CN"/>
        </w:rPr>
        <w:t>宁夏药品监督管理局</w:t>
      </w:r>
      <w:r>
        <w:rPr>
          <w:rFonts w:ascii="黑体" w:hAnsi="黑体" w:eastAsia="黑体" w:cs="黑体"/>
          <w:color w:val="231F20"/>
          <w:spacing w:val="7"/>
          <w:sz w:val="31"/>
          <w:szCs w:val="31"/>
        </w:rPr>
        <w:t xml:space="preserve">     </w:t>
      </w:r>
      <w:r>
        <w:rPr>
          <w:rFonts w:ascii="黑体" w:hAnsi="黑体" w:eastAsia="黑体" w:cs="黑体"/>
          <w:color w:val="231F20"/>
          <w:spacing w:val="-8"/>
          <w:position w:val="-1"/>
          <w:sz w:val="23"/>
          <w:szCs w:val="23"/>
        </w:rPr>
        <w:t>发</w:t>
      </w:r>
      <w:r>
        <w:rPr>
          <w:rFonts w:ascii="黑体" w:hAnsi="黑体" w:eastAsia="黑体" w:cs="黑体"/>
          <w:color w:val="231F20"/>
          <w:spacing w:val="12"/>
          <w:position w:val="-1"/>
          <w:sz w:val="23"/>
          <w:szCs w:val="23"/>
        </w:rPr>
        <w:t xml:space="preserve">  </w:t>
      </w:r>
      <w:r>
        <w:rPr>
          <w:rFonts w:ascii="黑体" w:hAnsi="黑体" w:eastAsia="黑体" w:cs="黑体"/>
          <w:color w:val="231F20"/>
          <w:spacing w:val="-8"/>
          <w:position w:val="-1"/>
          <w:sz w:val="23"/>
          <w:szCs w:val="23"/>
        </w:rPr>
        <w:t>布</w:t>
      </w:r>
    </w:p>
    <w:p>
      <w:pPr>
        <w:pStyle w:val="2"/>
        <w:sectPr>
          <w:headerReference r:id="rId3" w:type="default"/>
          <w:footerReference r:id="rId4" w:type="default"/>
          <w:pgSz w:w="11906" w:h="16838"/>
          <w:pgMar w:top="1310" w:right="1392" w:bottom="1304" w:left="1404" w:header="0" w:footer="0" w:gutter="0"/>
          <w:pgNumType w:fmt="decimal"/>
          <w:cols w:space="720" w:num="1"/>
        </w:sectPr>
      </w:pPr>
    </w:p>
    <w:p>
      <w:pPr>
        <w:pStyle w:val="2"/>
        <w:spacing w:line="427" w:lineRule="auto"/>
      </w:pPr>
    </w:p>
    <w:sdt>
      <w:sdtPr>
        <w:rPr>
          <w:rFonts w:ascii="微软雅黑" w:hAnsi="微软雅黑" w:eastAsia="微软雅黑" w:cs="微软雅黑"/>
          <w:sz w:val="41"/>
          <w:szCs w:val="41"/>
        </w:rPr>
        <w:id w:val="147460427"/>
        <w:docPartObj>
          <w:docPartGallery w:val="Table of Contents"/>
          <w:docPartUnique/>
        </w:docPartObj>
      </w:sdtPr>
      <w:sdtEndPr>
        <w:rPr>
          <w:rFonts w:ascii="新宋体" w:hAnsi="新宋体" w:eastAsia="新宋体" w:cs="新宋体"/>
          <w:sz w:val="23"/>
          <w:szCs w:val="23"/>
        </w:rPr>
      </w:sdtEndPr>
      <w:sdtContent>
        <w:p>
          <w:pPr>
            <w:spacing w:before="176" w:line="181" w:lineRule="auto"/>
            <w:ind w:left="3989"/>
            <w:rPr>
              <w:rFonts w:ascii="微软雅黑" w:hAnsi="微软雅黑" w:eastAsia="微软雅黑" w:cs="微软雅黑"/>
              <w:sz w:val="41"/>
              <w:szCs w:val="41"/>
            </w:rPr>
          </w:pPr>
          <w:bookmarkStart w:id="0" w:name="bookmark1"/>
          <w:bookmarkEnd w:id="0"/>
          <w:r>
            <w:rPr>
              <w:rFonts w:ascii="微软雅黑" w:hAnsi="微软雅黑" w:eastAsia="微软雅黑" w:cs="微软雅黑"/>
              <w:color w:val="231F20"/>
              <w:spacing w:val="-33"/>
              <w:sz w:val="41"/>
              <w:szCs w:val="41"/>
            </w:rPr>
            <w:t>目</w:t>
          </w:r>
          <w:r>
            <w:rPr>
              <w:rFonts w:ascii="微软雅黑" w:hAnsi="微软雅黑" w:eastAsia="微软雅黑" w:cs="微软雅黑"/>
              <w:color w:val="231F20"/>
              <w:spacing w:val="23"/>
              <w:sz w:val="41"/>
              <w:szCs w:val="41"/>
            </w:rPr>
            <w:t xml:space="preserve">   </w:t>
          </w:r>
          <w:r>
            <w:rPr>
              <w:rFonts w:ascii="微软雅黑" w:hAnsi="微软雅黑" w:eastAsia="微软雅黑" w:cs="微软雅黑"/>
              <w:color w:val="231F20"/>
              <w:spacing w:val="-33"/>
              <w:sz w:val="41"/>
              <w:szCs w:val="41"/>
            </w:rPr>
            <w:t>次</w:t>
          </w:r>
        </w:p>
        <w:p>
          <w:pPr>
            <w:pStyle w:val="2"/>
            <w:spacing w:line="257" w:lineRule="auto"/>
          </w:pPr>
        </w:p>
        <w:p>
          <w:pPr>
            <w:tabs>
              <w:tab w:val="right" w:leader="dot" w:pos="9082"/>
            </w:tabs>
            <w:spacing w:before="75" w:line="206" w:lineRule="auto"/>
            <w:ind w:left="41"/>
            <w:rPr>
              <w:rFonts w:ascii="新宋体" w:hAnsi="新宋体" w:eastAsia="新宋体" w:cs="新宋体"/>
              <w:sz w:val="23"/>
              <w:szCs w:val="23"/>
            </w:rPr>
          </w:pPr>
          <w:r>
            <w:fldChar w:fldCharType="begin"/>
          </w:r>
          <w:r>
            <w:instrText xml:space="preserve"> HYPERLINK \l "bookmark3" </w:instrText>
          </w:r>
          <w:r>
            <w:fldChar w:fldCharType="separate"/>
          </w:r>
          <w:r>
            <w:rPr>
              <w:rFonts w:ascii="新宋体" w:hAnsi="新宋体" w:eastAsia="新宋体" w:cs="新宋体"/>
              <w:color w:val="231F20"/>
              <w:spacing w:val="-6"/>
              <w:sz w:val="23"/>
              <w:szCs w:val="23"/>
            </w:rPr>
            <w:t>1</w:t>
          </w:r>
          <w:r>
            <w:rPr>
              <w:rFonts w:ascii="新宋体" w:hAnsi="新宋体" w:eastAsia="新宋体" w:cs="新宋体"/>
              <w:color w:val="231F20"/>
              <w:spacing w:val="10"/>
              <w:sz w:val="23"/>
              <w:szCs w:val="23"/>
            </w:rPr>
            <w:t xml:space="preserve"> </w:t>
          </w:r>
          <w:r>
            <w:rPr>
              <w:rFonts w:hint="eastAsia" w:ascii="微软雅黑" w:hAnsi="微软雅黑" w:eastAsia="微软雅黑" w:cs="微软雅黑"/>
              <w:color w:val="231F20"/>
              <w:spacing w:val="7"/>
              <w:sz w:val="23"/>
              <w:szCs w:val="23"/>
              <w:lang w:val="en-US" w:eastAsia="zh-CN"/>
            </w:rPr>
            <w:t>适用</w:t>
          </w:r>
          <w:r>
            <w:rPr>
              <w:rFonts w:ascii="微软雅黑" w:hAnsi="微软雅黑" w:eastAsia="微软雅黑" w:cs="微软雅黑"/>
              <w:color w:val="231F20"/>
              <w:spacing w:val="7"/>
              <w:sz w:val="23"/>
              <w:szCs w:val="23"/>
            </w:rPr>
            <w:t>范围</w:t>
          </w:r>
          <w:r>
            <w:rPr>
              <w:rFonts w:ascii="微软雅黑" w:hAnsi="微软雅黑" w:eastAsia="微软雅黑" w:cs="微软雅黑"/>
              <w:color w:val="231F20"/>
              <w:spacing w:val="30"/>
              <w:w w:val="101"/>
              <w:sz w:val="23"/>
              <w:szCs w:val="23"/>
            </w:rPr>
            <w:t xml:space="preserve"> </w:t>
          </w:r>
          <w:r>
            <w:rPr>
              <w:rFonts w:ascii="微软雅黑" w:hAnsi="微软雅黑" w:eastAsia="微软雅黑" w:cs="微软雅黑"/>
              <w:color w:val="231F20"/>
              <w:sz w:val="23"/>
              <w:szCs w:val="23"/>
            </w:rPr>
            <w:tab/>
          </w:r>
          <w:r>
            <w:rPr>
              <w:rFonts w:ascii="微软雅黑" w:hAnsi="微软雅黑" w:eastAsia="微软雅黑" w:cs="微软雅黑"/>
              <w:color w:val="231F20"/>
              <w:spacing w:val="6"/>
              <w:sz w:val="23"/>
              <w:szCs w:val="23"/>
            </w:rPr>
            <w:t xml:space="preserve">  </w:t>
          </w:r>
          <w:r>
            <w:rPr>
              <w:rFonts w:hint="eastAsia" w:ascii="新宋体" w:hAnsi="新宋体" w:eastAsia="新宋体" w:cs="新宋体"/>
              <w:color w:val="231F20"/>
              <w:sz w:val="23"/>
              <w:szCs w:val="23"/>
              <w:lang w:val="en-US" w:eastAsia="zh-CN"/>
            </w:rPr>
            <w:t>3</w:t>
          </w:r>
          <w:r>
            <w:rPr>
              <w:rFonts w:ascii="新宋体" w:hAnsi="新宋体" w:eastAsia="新宋体" w:cs="新宋体"/>
              <w:color w:val="231F20"/>
              <w:sz w:val="23"/>
              <w:szCs w:val="23"/>
            </w:rPr>
            <w:fldChar w:fldCharType="end"/>
          </w:r>
        </w:p>
        <w:p>
          <w:pPr>
            <w:tabs>
              <w:tab w:val="right" w:leader="dot" w:pos="9082"/>
            </w:tabs>
            <w:spacing w:before="75" w:line="204" w:lineRule="auto"/>
            <w:ind w:left="21"/>
            <w:rPr>
              <w:rFonts w:hint="eastAsia" w:ascii="新宋体" w:hAnsi="新宋体" w:eastAsia="微软雅黑" w:cs="新宋体"/>
              <w:color w:val="231F20"/>
              <w:spacing w:val="7"/>
              <w:sz w:val="23"/>
              <w:szCs w:val="23"/>
              <w:lang w:val="en-US" w:eastAsia="zh-CN"/>
            </w:rPr>
          </w:pPr>
          <w:r>
            <w:fldChar w:fldCharType="begin"/>
          </w:r>
          <w:r>
            <w:instrText xml:space="preserve"> HYPERLINK \l "bookmark4" </w:instrText>
          </w:r>
          <w:r>
            <w:fldChar w:fldCharType="separate"/>
          </w:r>
          <w:r>
            <w:rPr>
              <w:rFonts w:ascii="新宋体" w:hAnsi="新宋体" w:eastAsia="新宋体" w:cs="新宋体"/>
              <w:color w:val="231F20"/>
              <w:spacing w:val="7"/>
              <w:sz w:val="23"/>
              <w:szCs w:val="23"/>
            </w:rPr>
            <w:t>2</w:t>
          </w:r>
          <w:r>
            <w:rPr>
              <w:rFonts w:hint="eastAsia" w:ascii="新宋体" w:hAnsi="新宋体" w:eastAsia="新宋体" w:cs="新宋体"/>
              <w:color w:val="231F20"/>
              <w:spacing w:val="7"/>
              <w:sz w:val="23"/>
              <w:szCs w:val="23"/>
              <w:lang w:val="en-US" w:eastAsia="zh-CN"/>
            </w:rPr>
            <w:t xml:space="preserve"> </w:t>
          </w:r>
          <w:r>
            <w:rPr>
              <w:rFonts w:ascii="新宋体" w:hAnsi="新宋体" w:eastAsia="新宋体" w:cs="新宋体"/>
              <w:color w:val="231F20"/>
              <w:spacing w:val="7"/>
              <w:sz w:val="23"/>
              <w:szCs w:val="23"/>
            </w:rPr>
            <w:t xml:space="preserve"> </w:t>
          </w:r>
          <w:r>
            <w:rPr>
              <w:rFonts w:hint="eastAsia" w:ascii="微软雅黑" w:hAnsi="微软雅黑" w:eastAsia="微软雅黑" w:cs="微软雅黑"/>
              <w:color w:val="231F20"/>
              <w:spacing w:val="7"/>
              <w:sz w:val="23"/>
              <w:szCs w:val="23"/>
              <w:lang w:val="en-US" w:eastAsia="zh-CN"/>
            </w:rPr>
            <w:t>原则</w:t>
          </w:r>
          <w:r>
            <w:rPr>
              <w:rFonts w:ascii="微软雅黑" w:hAnsi="微软雅黑" w:eastAsia="微软雅黑" w:cs="微软雅黑"/>
              <w:color w:val="231F20"/>
              <w:spacing w:val="7"/>
              <w:sz w:val="23"/>
              <w:szCs w:val="23"/>
            </w:rPr>
            <w:t xml:space="preserve"> </w:t>
          </w:r>
          <w:r>
            <w:rPr>
              <w:rFonts w:ascii="微软雅黑" w:hAnsi="微软雅黑" w:eastAsia="微软雅黑" w:cs="微软雅黑"/>
              <w:color w:val="231F20"/>
              <w:sz w:val="23"/>
              <w:szCs w:val="23"/>
            </w:rPr>
            <w:tab/>
          </w:r>
          <w:r>
            <w:rPr>
              <w:rFonts w:hint="eastAsia" w:ascii="微软雅黑" w:hAnsi="微软雅黑" w:eastAsia="微软雅黑" w:cs="微软雅黑"/>
              <w:color w:val="231F20"/>
              <w:sz w:val="23"/>
              <w:szCs w:val="23"/>
              <w:lang w:val="en-US" w:eastAsia="zh-CN"/>
            </w:rPr>
            <w:t>3</w:t>
          </w:r>
        </w:p>
        <w:p>
          <w:pPr>
            <w:tabs>
              <w:tab w:val="right" w:leader="dot" w:pos="9082"/>
            </w:tabs>
            <w:spacing w:before="75" w:line="204" w:lineRule="auto"/>
            <w:ind w:left="21"/>
            <w:rPr>
              <w:rFonts w:hint="default" w:ascii="新宋体" w:hAnsi="新宋体" w:eastAsia="新宋体" w:cs="新宋体"/>
              <w:sz w:val="23"/>
              <w:szCs w:val="23"/>
              <w:lang w:val="en-US" w:eastAsia="zh-CN"/>
            </w:rPr>
          </w:pPr>
          <w:r>
            <w:rPr>
              <w:rFonts w:hint="eastAsia" w:ascii="新宋体" w:hAnsi="新宋体" w:eastAsia="新宋体" w:cs="新宋体"/>
              <w:color w:val="231F20"/>
              <w:spacing w:val="7"/>
              <w:sz w:val="23"/>
              <w:szCs w:val="23"/>
              <w:lang w:val="en-US" w:eastAsia="zh-CN"/>
            </w:rPr>
            <w:t xml:space="preserve">3  </w:t>
          </w:r>
          <w:r>
            <w:rPr>
              <w:rFonts w:ascii="微软雅黑" w:hAnsi="微软雅黑" w:eastAsia="微软雅黑" w:cs="微软雅黑"/>
              <w:color w:val="231F20"/>
              <w:spacing w:val="7"/>
              <w:sz w:val="23"/>
              <w:szCs w:val="23"/>
            </w:rPr>
            <w:t>规范性引用文件</w:t>
          </w:r>
          <w:r>
            <w:rPr>
              <w:rFonts w:ascii="微软雅黑" w:hAnsi="微软雅黑" w:eastAsia="微软雅黑" w:cs="微软雅黑"/>
              <w:color w:val="231F20"/>
              <w:spacing w:val="6"/>
              <w:sz w:val="23"/>
              <w:szCs w:val="23"/>
            </w:rPr>
            <w:t xml:space="preserve"> </w:t>
          </w:r>
          <w:r>
            <w:rPr>
              <w:rFonts w:ascii="微软雅黑" w:hAnsi="微软雅黑" w:eastAsia="微软雅黑" w:cs="微软雅黑"/>
              <w:color w:val="231F20"/>
              <w:sz w:val="23"/>
              <w:szCs w:val="23"/>
            </w:rPr>
            <w:tab/>
          </w:r>
          <w:r>
            <w:rPr>
              <w:rFonts w:ascii="新宋体" w:hAnsi="新宋体" w:eastAsia="新宋体" w:cs="新宋体"/>
              <w:color w:val="231F20"/>
              <w:sz w:val="23"/>
              <w:szCs w:val="23"/>
            </w:rPr>
            <w:fldChar w:fldCharType="end"/>
          </w:r>
          <w:r>
            <w:rPr>
              <w:rFonts w:hint="eastAsia" w:ascii="新宋体" w:hAnsi="新宋体" w:eastAsia="新宋体" w:cs="新宋体"/>
              <w:color w:val="231F20"/>
              <w:sz w:val="23"/>
              <w:szCs w:val="23"/>
              <w:lang w:val="en-US" w:eastAsia="zh-CN"/>
            </w:rPr>
            <w:t>3</w:t>
          </w:r>
        </w:p>
        <w:p>
          <w:pPr>
            <w:tabs>
              <w:tab w:val="right" w:leader="dot" w:pos="9082"/>
            </w:tabs>
            <w:spacing w:before="77" w:line="205" w:lineRule="auto"/>
            <w:ind w:left="25"/>
            <w:rPr>
              <w:rFonts w:ascii="新宋体" w:hAnsi="新宋体" w:eastAsia="新宋体" w:cs="新宋体"/>
              <w:sz w:val="23"/>
              <w:szCs w:val="23"/>
            </w:rPr>
          </w:pPr>
          <w:r>
            <w:fldChar w:fldCharType="begin"/>
          </w:r>
          <w:r>
            <w:instrText xml:space="preserve"> HYPERLINK \l "bookmark5" </w:instrText>
          </w:r>
          <w:r>
            <w:fldChar w:fldCharType="separate"/>
          </w:r>
          <w:r>
            <w:rPr>
              <w:rFonts w:hint="eastAsia" w:ascii="新宋体" w:hAnsi="新宋体" w:eastAsia="新宋体" w:cs="新宋体"/>
              <w:color w:val="231F20"/>
              <w:spacing w:val="6"/>
              <w:sz w:val="23"/>
              <w:szCs w:val="23"/>
              <w:lang w:val="en-US" w:eastAsia="zh-CN"/>
            </w:rPr>
            <w:t xml:space="preserve">4  </w:t>
          </w:r>
          <w:r>
            <w:rPr>
              <w:rFonts w:ascii="微软雅黑" w:hAnsi="微软雅黑" w:eastAsia="微软雅黑" w:cs="微软雅黑"/>
              <w:color w:val="231F20"/>
              <w:spacing w:val="6"/>
              <w:sz w:val="23"/>
              <w:szCs w:val="23"/>
            </w:rPr>
            <w:t>术语和定义</w:t>
          </w:r>
          <w:r>
            <w:rPr>
              <w:rFonts w:ascii="微软雅黑" w:hAnsi="微软雅黑" w:eastAsia="微软雅黑" w:cs="微软雅黑"/>
              <w:color w:val="231F20"/>
              <w:spacing w:val="30"/>
              <w:w w:val="101"/>
              <w:sz w:val="23"/>
              <w:szCs w:val="23"/>
            </w:rPr>
            <w:t xml:space="preserve"> </w:t>
          </w:r>
          <w:r>
            <w:rPr>
              <w:rFonts w:ascii="微软雅黑" w:hAnsi="微软雅黑" w:eastAsia="微软雅黑" w:cs="微软雅黑"/>
              <w:color w:val="231F20"/>
              <w:sz w:val="23"/>
              <w:szCs w:val="23"/>
            </w:rPr>
            <w:tab/>
          </w:r>
          <w:r>
            <w:rPr>
              <w:rFonts w:ascii="微软雅黑" w:hAnsi="微软雅黑" w:eastAsia="微软雅黑" w:cs="微软雅黑"/>
              <w:color w:val="231F20"/>
              <w:spacing w:val="6"/>
              <w:sz w:val="23"/>
              <w:szCs w:val="23"/>
            </w:rPr>
            <w:t xml:space="preserve">  </w:t>
          </w:r>
          <w:r>
            <w:rPr>
              <w:rFonts w:hint="eastAsia" w:ascii="新宋体" w:hAnsi="新宋体" w:eastAsia="新宋体" w:cs="新宋体"/>
              <w:color w:val="231F20"/>
              <w:sz w:val="23"/>
              <w:szCs w:val="23"/>
              <w:lang w:val="en-US" w:eastAsia="zh-CN"/>
            </w:rPr>
            <w:t>3</w:t>
          </w:r>
          <w:r>
            <w:rPr>
              <w:rFonts w:ascii="新宋体" w:hAnsi="新宋体" w:eastAsia="新宋体" w:cs="新宋体"/>
              <w:color w:val="231F20"/>
              <w:sz w:val="23"/>
              <w:szCs w:val="23"/>
            </w:rPr>
            <w:fldChar w:fldCharType="end"/>
          </w:r>
        </w:p>
        <w:p>
          <w:pPr>
            <w:tabs>
              <w:tab w:val="right" w:leader="dot" w:pos="9082"/>
            </w:tabs>
            <w:spacing w:before="76" w:line="205" w:lineRule="auto"/>
            <w:ind w:left="22"/>
            <w:rPr>
              <w:rFonts w:ascii="新宋体" w:hAnsi="新宋体" w:eastAsia="新宋体" w:cs="新宋体"/>
              <w:sz w:val="23"/>
              <w:szCs w:val="23"/>
            </w:rPr>
          </w:pPr>
          <w:r>
            <w:fldChar w:fldCharType="begin"/>
          </w:r>
          <w:r>
            <w:instrText xml:space="preserve"> HYPERLINK \l "bookmark7" </w:instrText>
          </w:r>
          <w:r>
            <w:fldChar w:fldCharType="separate"/>
          </w:r>
          <w:r>
            <w:rPr>
              <w:rFonts w:ascii="新宋体" w:hAnsi="新宋体" w:eastAsia="新宋体" w:cs="新宋体"/>
              <w:color w:val="231F20"/>
              <w:spacing w:val="7"/>
              <w:sz w:val="23"/>
              <w:szCs w:val="23"/>
            </w:rPr>
            <w:t xml:space="preserve">5  </w:t>
          </w:r>
          <w:r>
            <w:rPr>
              <w:rFonts w:hint="eastAsia" w:ascii="微软雅黑" w:hAnsi="微软雅黑" w:eastAsia="微软雅黑" w:cs="微软雅黑"/>
              <w:color w:val="231F20"/>
              <w:spacing w:val="4"/>
              <w:sz w:val="23"/>
              <w:szCs w:val="23"/>
              <w:lang w:val="en-US" w:eastAsia="zh-CN"/>
            </w:rPr>
            <w:t>鲜切药材的加工</w:t>
          </w:r>
          <w:r>
            <w:rPr>
              <w:rFonts w:ascii="微软雅黑" w:hAnsi="微软雅黑" w:eastAsia="微软雅黑" w:cs="微软雅黑"/>
              <w:color w:val="231F20"/>
              <w:spacing w:val="4"/>
              <w:sz w:val="23"/>
              <w:szCs w:val="23"/>
            </w:rPr>
            <w:t>工艺流程</w:t>
          </w:r>
          <w:r>
            <w:rPr>
              <w:rFonts w:hint="eastAsia" w:ascii="微软雅黑" w:hAnsi="微软雅黑" w:eastAsia="微软雅黑" w:cs="微软雅黑"/>
              <w:color w:val="231F20"/>
              <w:spacing w:val="4"/>
              <w:sz w:val="23"/>
              <w:szCs w:val="23"/>
              <w:lang w:val="en-US" w:eastAsia="zh-CN"/>
            </w:rPr>
            <w:t>与技术要求</w:t>
          </w:r>
          <w:r>
            <w:rPr>
              <w:rFonts w:ascii="微软雅黑" w:hAnsi="微软雅黑" w:eastAsia="微软雅黑" w:cs="微软雅黑"/>
              <w:color w:val="231F20"/>
              <w:spacing w:val="4"/>
              <w:sz w:val="23"/>
              <w:szCs w:val="23"/>
            </w:rPr>
            <w:t xml:space="preserve"> </w:t>
          </w:r>
          <w:r>
            <w:rPr>
              <w:rFonts w:ascii="微软雅黑" w:hAnsi="微软雅黑" w:eastAsia="微软雅黑" w:cs="微软雅黑"/>
              <w:color w:val="231F20"/>
              <w:sz w:val="23"/>
              <w:szCs w:val="23"/>
            </w:rPr>
            <w:tab/>
          </w:r>
          <w:r>
            <w:rPr>
              <w:rFonts w:ascii="微软雅黑" w:hAnsi="微软雅黑" w:eastAsia="微软雅黑" w:cs="微软雅黑"/>
              <w:color w:val="231F20"/>
              <w:spacing w:val="64"/>
              <w:w w:val="101"/>
              <w:sz w:val="23"/>
              <w:szCs w:val="23"/>
            </w:rPr>
            <w:t xml:space="preserve"> </w:t>
          </w:r>
          <w:r>
            <w:rPr>
              <w:rFonts w:hint="eastAsia" w:ascii="新宋体" w:hAnsi="新宋体" w:eastAsia="新宋体" w:cs="新宋体"/>
              <w:color w:val="231F20"/>
              <w:sz w:val="23"/>
              <w:szCs w:val="23"/>
              <w:lang w:val="en-US" w:eastAsia="zh-CN"/>
            </w:rPr>
            <w:t>5</w:t>
          </w:r>
          <w:r>
            <w:rPr>
              <w:rFonts w:ascii="新宋体" w:hAnsi="新宋体" w:eastAsia="新宋体" w:cs="新宋体"/>
              <w:color w:val="231F20"/>
              <w:sz w:val="23"/>
              <w:szCs w:val="23"/>
            </w:rPr>
            <w:fldChar w:fldCharType="end"/>
          </w:r>
        </w:p>
        <w:p>
          <w:pPr>
            <w:tabs>
              <w:tab w:val="right" w:leader="dot" w:pos="9082"/>
            </w:tabs>
            <w:spacing w:before="75" w:line="205" w:lineRule="auto"/>
            <w:ind w:left="22"/>
            <w:rPr>
              <w:rFonts w:hint="eastAsia" w:ascii="新宋体" w:hAnsi="新宋体" w:eastAsia="微软雅黑" w:cs="新宋体"/>
              <w:color w:val="231F20"/>
              <w:spacing w:val="7"/>
              <w:sz w:val="23"/>
              <w:szCs w:val="23"/>
              <w:lang w:val="en-US" w:eastAsia="zh-CN"/>
            </w:rPr>
          </w:pPr>
          <w:r>
            <w:fldChar w:fldCharType="begin"/>
          </w:r>
          <w:r>
            <w:instrText xml:space="preserve"> HYPERLINK \l "bookmark8" </w:instrText>
          </w:r>
          <w:r>
            <w:fldChar w:fldCharType="separate"/>
          </w:r>
          <w:r>
            <w:rPr>
              <w:rFonts w:hint="eastAsia" w:ascii="新宋体" w:hAnsi="新宋体" w:eastAsia="新宋体" w:cs="新宋体"/>
              <w:color w:val="231F20"/>
              <w:spacing w:val="7"/>
              <w:sz w:val="23"/>
              <w:szCs w:val="23"/>
              <w:lang w:val="en-US" w:eastAsia="zh-CN"/>
            </w:rPr>
            <w:t xml:space="preserve">6  </w:t>
          </w:r>
          <w:r>
            <w:rPr>
              <w:rFonts w:hint="eastAsia" w:ascii="微软雅黑" w:hAnsi="微软雅黑" w:eastAsia="微软雅黑" w:cs="微软雅黑"/>
              <w:color w:val="231F20"/>
              <w:spacing w:val="4"/>
              <w:sz w:val="23"/>
              <w:szCs w:val="23"/>
              <w:lang w:val="en-US" w:eastAsia="zh-CN"/>
            </w:rPr>
            <w:t>基本要求</w:t>
          </w:r>
          <w:r>
            <w:rPr>
              <w:rFonts w:ascii="微软雅黑" w:hAnsi="微软雅黑" w:eastAsia="微软雅黑" w:cs="微软雅黑"/>
              <w:color w:val="231F20"/>
              <w:sz w:val="23"/>
              <w:szCs w:val="23"/>
            </w:rPr>
            <w:tab/>
          </w:r>
          <w:r>
            <w:rPr>
              <w:rFonts w:hint="eastAsia" w:ascii="微软雅黑" w:hAnsi="微软雅黑" w:eastAsia="微软雅黑" w:cs="微软雅黑"/>
              <w:color w:val="231F20"/>
              <w:sz w:val="23"/>
              <w:szCs w:val="23"/>
              <w:lang w:val="en-US" w:eastAsia="zh-CN"/>
            </w:rPr>
            <w:t>6</w:t>
          </w:r>
        </w:p>
        <w:p>
          <w:pPr>
            <w:tabs>
              <w:tab w:val="right" w:leader="dot" w:pos="9082"/>
            </w:tabs>
            <w:spacing w:before="75" w:line="205" w:lineRule="auto"/>
            <w:ind w:left="22"/>
            <w:rPr>
              <w:rFonts w:ascii="新宋体" w:hAnsi="新宋体" w:eastAsia="新宋体" w:cs="新宋体"/>
              <w:sz w:val="23"/>
              <w:szCs w:val="23"/>
            </w:rPr>
          </w:pPr>
          <w:r>
            <w:rPr>
              <w:rFonts w:ascii="新宋体" w:hAnsi="新宋体" w:eastAsia="新宋体" w:cs="新宋体"/>
              <w:color w:val="231F20"/>
              <w:sz w:val="23"/>
              <w:szCs w:val="23"/>
            </w:rPr>
            <w:fldChar w:fldCharType="end"/>
          </w:r>
        </w:p>
        <w:p>
          <w:pPr>
            <w:tabs>
              <w:tab w:val="right" w:leader="dot" w:pos="9082"/>
            </w:tabs>
            <w:spacing w:before="77" w:line="205" w:lineRule="auto"/>
            <w:ind w:left="21"/>
            <w:rPr>
              <w:rFonts w:ascii="新宋体" w:hAnsi="新宋体" w:eastAsia="新宋体" w:cs="新宋体"/>
              <w:sz w:val="23"/>
              <w:szCs w:val="23"/>
            </w:rPr>
          </w:pPr>
        </w:p>
      </w:sdtContent>
    </w:sdt>
    <w:p>
      <w:pPr>
        <w:pStyle w:val="2"/>
      </w:pPr>
      <w:r>
        <mc:AlternateContent>
          <mc:Choice Requires="wps">
            <w:drawing>
              <wp:anchor distT="0" distB="0" distL="114300" distR="114300" simplePos="0" relativeHeight="251663360" behindDoc="0" locked="0" layoutInCell="0" allowOverlap="1">
                <wp:simplePos x="0" y="0"/>
                <wp:positionH relativeFrom="page">
                  <wp:posOffset>891540</wp:posOffset>
                </wp:positionH>
                <wp:positionV relativeFrom="page">
                  <wp:posOffset>657860</wp:posOffset>
                </wp:positionV>
                <wp:extent cx="5783580" cy="10795"/>
                <wp:effectExtent l="0" t="0" r="0" b="0"/>
                <wp:wrapNone/>
                <wp:docPr id="3" name="任意多边形 3"/>
                <wp:cNvGraphicFramePr/>
                <a:graphic xmlns:a="http://schemas.openxmlformats.org/drawingml/2006/main">
                  <a:graphicData uri="http://schemas.microsoft.com/office/word/2010/wordprocessingShape">
                    <wps:wsp>
                      <wps:cNvSpPr/>
                      <wps:spPr>
                        <a:xfrm>
                          <a:off x="0" y="0"/>
                          <a:ext cx="5783580" cy="10795"/>
                        </a:xfrm>
                        <a:custGeom>
                          <a:avLst/>
                          <a:gdLst/>
                          <a:ahLst/>
                          <a:cxnLst/>
                          <a:pathLst>
                            <a:path w="9107" h="17">
                              <a:moveTo>
                                <a:pt x="8" y="8"/>
                              </a:moveTo>
                              <a:lnTo>
                                <a:pt x="9099" y="8"/>
                              </a:lnTo>
                            </a:path>
                          </a:pathLst>
                        </a:custGeom>
                        <a:noFill/>
                        <a:ln w="10414" cap="rnd" cmpd="sng">
                          <a:solidFill>
                            <a:srgbClr val="000000"/>
                          </a:solidFill>
                          <a:prstDash val="solid"/>
                          <a:headEnd type="none" w="med" len="med"/>
                          <a:tailEnd type="none" w="med" len="med"/>
                        </a:ln>
                      </wps:spPr>
                      <wps:bodyPr upright="true"/>
                    </wps:wsp>
                  </a:graphicData>
                </a:graphic>
              </wp:anchor>
            </w:drawing>
          </mc:Choice>
          <mc:Fallback>
            <w:pict>
              <v:shape id="_x0000_s1026" o:spid="_x0000_s1026" o:spt="100" style="position:absolute;left:0pt;margin-left:70.2pt;margin-top:51.8pt;height:0.85pt;width:455.4pt;mso-position-horizontal-relative:page;mso-position-vertical-relative:page;z-index:251663360;mso-width-relative:page;mso-height-relative:page;" filled="f" stroked="t" coordsize="9107,17" o:allowincell="f" o:gfxdata="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A1vDd3ZAAAADAEAAA8AAAAAAAAAAQAgAAAAOAAAAGRycy9kb3ducmV2&#10;LnhtbFBLAQIUABQAAAAIAIdO4kDMHW20HgIAAEIEAAAOAAAAAAAAAAEAIAAAAD4BAABkcnMvZTJv&#10;RG9jLnhtbFBLBQYAAAAABgAGAFkBAADOBQAAAAA=&#10;" path="m8,8l9099,8e">
                <v:fill on="f" focussize="0,0"/>
                <v:stroke weight="0.82pt" color="#000000" joinstyle="round" endcap="round"/>
                <v:imagedata o:title=""/>
                <o:lock v:ext="edit" aspectratio="f"/>
              </v:shape>
            </w:pict>
          </mc:Fallback>
        </mc:AlternateConten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jc w:val="both"/>
        <w:rPr>
          <w:rFonts w:hint="default" w:ascii="Arial" w:hAnsi="Arial" w:cs="Arial"/>
          <w:b/>
          <w:bCs/>
          <w:i w:val="0"/>
          <w:iCs w:val="0"/>
          <w:caps w:val="0"/>
          <w:color w:val="333333"/>
          <w:spacing w:val="0"/>
          <w:sz w:val="24"/>
          <w:szCs w:val="24"/>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jc w:val="both"/>
        <w:rPr>
          <w:rFonts w:hint="default" w:ascii="Arial" w:hAnsi="Arial" w:cs="Arial"/>
          <w:b/>
          <w:bCs/>
          <w:i w:val="0"/>
          <w:iCs w:val="0"/>
          <w:caps w:val="0"/>
          <w:color w:val="333333"/>
          <w:spacing w:val="0"/>
          <w:sz w:val="24"/>
          <w:szCs w:val="24"/>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pacing w:before="0" w:beforeAutospacing="0" w:after="0" w:afterAutospacing="0" w:line="360" w:lineRule="auto"/>
        <w:ind w:right="0"/>
        <w:jc w:val="both"/>
        <w:textAlignment w:val="auto"/>
        <w:rPr>
          <w:rFonts w:hint="default" w:ascii="Arial" w:hAnsi="Arial" w:cs="Arial"/>
          <w:b/>
          <w:bCs/>
          <w:i w:val="0"/>
          <w:iCs w:val="0"/>
          <w:caps w:val="0"/>
          <w:color w:val="333333"/>
          <w:spacing w:val="0"/>
          <w:sz w:val="24"/>
          <w:szCs w:val="24"/>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pacing w:before="0" w:beforeAutospacing="0" w:after="0" w:afterAutospacing="0" w:line="360" w:lineRule="auto"/>
        <w:ind w:right="0" w:firstLine="481" w:firstLineChars="200"/>
        <w:jc w:val="both"/>
        <w:textAlignment w:val="auto"/>
        <w:rPr>
          <w:rFonts w:hint="default" w:ascii="Arial" w:hAnsi="Arial" w:cs="Arial"/>
          <w:b/>
          <w:bCs/>
          <w:i w:val="0"/>
          <w:iCs w:val="0"/>
          <w:caps w:val="0"/>
          <w:color w:val="333333"/>
          <w:spacing w:val="0"/>
          <w:sz w:val="24"/>
          <w:szCs w:val="24"/>
        </w:rPr>
      </w:pPr>
      <w:r>
        <w:rPr>
          <w:rFonts w:hint="default" w:ascii="Arial" w:hAnsi="Arial" w:cs="Arial"/>
          <w:b/>
          <w:bCs/>
          <w:i w:val="0"/>
          <w:iCs w:val="0"/>
          <w:caps w:val="0"/>
          <w:color w:val="333333"/>
          <w:spacing w:val="0"/>
          <w:sz w:val="24"/>
          <w:szCs w:val="24"/>
          <w:shd w:val="clear" w:fill="FFFFFF"/>
        </w:rPr>
        <w:t>一、适用范围</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sz w:val="32"/>
          <w:szCs w:val="32"/>
        </w:rPr>
      </w:pPr>
      <w:r>
        <w:rPr>
          <w:rFonts w:hint="default" w:ascii="Arial" w:hAnsi="Arial" w:cs="Arial"/>
          <w:i w:val="0"/>
          <w:iCs w:val="0"/>
          <w:caps w:val="0"/>
          <w:color w:val="333333"/>
          <w:spacing w:val="0"/>
          <w:sz w:val="24"/>
          <w:szCs w:val="24"/>
          <w:shd w:val="clear" w:fill="FFFFFF"/>
        </w:rPr>
        <w:t>本指导原则</w:t>
      </w:r>
      <w:r>
        <w:rPr>
          <w:rFonts w:hint="eastAsia" w:ascii="Arial" w:hAnsi="Arial" w:cs="Arial"/>
          <w:i w:val="0"/>
          <w:iCs w:val="0"/>
          <w:caps w:val="0"/>
          <w:color w:val="333333"/>
          <w:spacing w:val="0"/>
          <w:sz w:val="24"/>
          <w:szCs w:val="24"/>
          <w:shd w:val="clear" w:fill="FFFFFF"/>
          <w:lang w:val="en-US" w:eastAsia="zh-CN"/>
        </w:rPr>
        <w:t>与技术要求</w:t>
      </w:r>
      <w:r>
        <w:rPr>
          <w:rFonts w:hint="default" w:ascii="Arial" w:hAnsi="Arial" w:cs="Arial"/>
          <w:i w:val="0"/>
          <w:iCs w:val="0"/>
          <w:caps w:val="0"/>
          <w:color w:val="333333"/>
          <w:spacing w:val="0"/>
          <w:sz w:val="24"/>
          <w:szCs w:val="24"/>
          <w:shd w:val="clear" w:fill="FFFFFF"/>
        </w:rPr>
        <w:t>适用于</w:t>
      </w:r>
      <w:r>
        <w:rPr>
          <w:rFonts w:hint="eastAsia" w:ascii="Arial" w:hAnsi="Arial" w:cs="Arial"/>
          <w:i w:val="0"/>
          <w:iCs w:val="0"/>
          <w:caps w:val="0"/>
          <w:color w:val="333333"/>
          <w:spacing w:val="0"/>
          <w:sz w:val="24"/>
          <w:szCs w:val="24"/>
          <w:shd w:val="clear" w:fill="FFFFFF"/>
          <w:lang w:val="en-US" w:eastAsia="zh-CN"/>
        </w:rPr>
        <w:t>宁夏回族自治区</w:t>
      </w:r>
      <w:r>
        <w:rPr>
          <w:rFonts w:hint="default" w:ascii="Arial" w:hAnsi="Arial" w:cs="Arial"/>
          <w:i w:val="0"/>
          <w:iCs w:val="0"/>
          <w:caps w:val="0"/>
          <w:color w:val="333333"/>
          <w:spacing w:val="0"/>
          <w:sz w:val="24"/>
          <w:szCs w:val="24"/>
          <w:shd w:val="clear" w:fill="FFFFFF"/>
        </w:rPr>
        <w:t>中药材产地加工（趁鲜切制）的加工</w:t>
      </w:r>
      <w:r>
        <w:rPr>
          <w:rFonts w:hint="eastAsia" w:ascii="Arial" w:hAnsi="Arial" w:cs="Arial"/>
          <w:i w:val="0"/>
          <w:iCs w:val="0"/>
          <w:caps w:val="0"/>
          <w:color w:val="333333"/>
          <w:spacing w:val="0"/>
          <w:sz w:val="24"/>
          <w:szCs w:val="24"/>
          <w:shd w:val="clear" w:fill="FFFFFF"/>
          <w:lang w:val="en-US" w:eastAsia="zh-CN"/>
        </w:rPr>
        <w:t>技术规范</w:t>
      </w:r>
      <w:r>
        <w:rPr>
          <w:rFonts w:hint="default" w:ascii="Arial" w:hAnsi="Arial" w:cs="Arial"/>
          <w:i w:val="0"/>
          <w:iCs w:val="0"/>
          <w:caps w:val="0"/>
          <w:color w:val="333333"/>
          <w:spacing w:val="0"/>
          <w:sz w:val="24"/>
          <w:szCs w:val="24"/>
          <w:shd w:val="clear" w:fill="FFFFFF"/>
        </w:rPr>
        <w:t>和质量控制的全过程。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1" w:firstLineChars="200"/>
        <w:jc w:val="both"/>
        <w:textAlignment w:val="auto"/>
        <w:rPr>
          <w:rFonts w:hint="default" w:ascii="Arial" w:hAnsi="Arial" w:cs="Arial"/>
          <w:b/>
          <w:bCs/>
          <w:i w:val="0"/>
          <w:iCs w:val="0"/>
          <w:caps w:val="0"/>
          <w:color w:val="333333"/>
          <w:spacing w:val="0"/>
          <w:sz w:val="24"/>
          <w:szCs w:val="24"/>
        </w:rPr>
      </w:pPr>
      <w:r>
        <w:rPr>
          <w:rFonts w:hint="default" w:ascii="Arial" w:hAnsi="Arial" w:cs="Arial"/>
          <w:b/>
          <w:bCs/>
          <w:i w:val="0"/>
          <w:iCs w:val="0"/>
          <w:caps w:val="0"/>
          <w:color w:val="333333"/>
          <w:spacing w:val="0"/>
          <w:sz w:val="24"/>
          <w:szCs w:val="24"/>
          <w:shd w:val="clear" w:fill="FFFFFF"/>
        </w:rPr>
        <w:t>二、原则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Arial" w:hAnsi="Arial" w:cs="Arial"/>
          <w:i w:val="0"/>
          <w:iCs w:val="0"/>
          <w:caps w:val="0"/>
          <w:color w:val="auto"/>
          <w:spacing w:val="0"/>
          <w:sz w:val="24"/>
          <w:szCs w:val="24"/>
          <w:shd w:val="clear" w:fill="FFFFFF"/>
        </w:rPr>
      </w:pPr>
      <w:r>
        <w:rPr>
          <w:rFonts w:hint="default" w:ascii="Arial" w:hAnsi="Arial" w:cs="Arial"/>
          <w:i w:val="0"/>
          <w:iCs w:val="0"/>
          <w:caps w:val="0"/>
          <w:color w:val="auto"/>
          <w:spacing w:val="0"/>
          <w:sz w:val="24"/>
          <w:szCs w:val="24"/>
          <w:shd w:val="clear" w:fill="FFFFFF"/>
        </w:rPr>
        <w:t xml:space="preserve">宁夏回族自治区药品监督管理局（以下简称自治区药监局）在《中华人民共和国药典》等标准收载鲜切药材品种的基础上，发布宁夏产地加工（趁鲜切制）中药材品种目录，并及时更新和调整，向社会公开。列入宁夏产地加工（趁鲜切制）中药材品种目录的中药材，应当以宁夏道地、大宗种植中药材为主，有产地加工传统，适宜趁鲜切制，且对质量无不良影响。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Arial" w:hAnsi="Arial" w:cs="Arial"/>
          <w:i w:val="0"/>
          <w:iCs w:val="0"/>
          <w:caps w:val="0"/>
          <w:color w:val="auto"/>
          <w:spacing w:val="0"/>
          <w:sz w:val="24"/>
          <w:szCs w:val="24"/>
          <w:shd w:val="clear" w:fill="FFFFFF"/>
        </w:rPr>
      </w:pPr>
      <w:r>
        <w:rPr>
          <w:rFonts w:hint="eastAsia" w:ascii="Arial" w:hAnsi="Arial" w:cs="Arial"/>
          <w:i w:val="0"/>
          <w:iCs w:val="0"/>
          <w:caps w:val="0"/>
          <w:color w:val="auto"/>
          <w:spacing w:val="0"/>
          <w:sz w:val="24"/>
          <w:szCs w:val="24"/>
          <w:shd w:val="clear" w:fill="FFFFFF"/>
          <w:lang w:eastAsia="zh-CN"/>
        </w:rPr>
        <w:t>“</w:t>
      </w:r>
      <w:r>
        <w:rPr>
          <w:rFonts w:hint="eastAsia" w:ascii="Arial" w:hAnsi="Arial" w:cs="Arial"/>
          <w:i w:val="0"/>
          <w:iCs w:val="0"/>
          <w:caps w:val="0"/>
          <w:color w:val="auto"/>
          <w:spacing w:val="0"/>
          <w:sz w:val="24"/>
          <w:szCs w:val="24"/>
          <w:shd w:val="clear" w:fill="FFFFFF"/>
        </w:rPr>
        <w:t>鲜切药材</w:t>
      </w:r>
      <w:r>
        <w:rPr>
          <w:rFonts w:hint="eastAsia" w:ascii="Arial" w:hAnsi="Arial" w:cs="Arial"/>
          <w:i w:val="0"/>
          <w:iCs w:val="0"/>
          <w:caps w:val="0"/>
          <w:color w:val="auto"/>
          <w:spacing w:val="0"/>
          <w:sz w:val="24"/>
          <w:szCs w:val="24"/>
          <w:shd w:val="clear" w:fill="FFFFFF"/>
          <w:lang w:eastAsia="zh-CN"/>
        </w:rPr>
        <w:t>”</w:t>
      </w:r>
      <w:r>
        <w:rPr>
          <w:rFonts w:hint="eastAsia" w:ascii="Arial" w:hAnsi="Arial" w:cs="Arial"/>
          <w:i w:val="0"/>
          <w:iCs w:val="0"/>
          <w:caps w:val="0"/>
          <w:color w:val="auto"/>
          <w:spacing w:val="0"/>
          <w:sz w:val="24"/>
          <w:szCs w:val="24"/>
          <w:shd w:val="clear" w:fill="FFFFFF"/>
        </w:rPr>
        <w:t>是指在中药材产地按照传统加工方法将采收的新鲜中药材加工成片、段、块、丝或去除皮、芯等非药用部位的初加工中药材，其目的是为了解决中药材加工过程中因“二次浸润”、切制加工造成的成分流失和损耗增大等问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Arial" w:hAnsi="Arial" w:cs="Arial"/>
          <w:i w:val="0"/>
          <w:iCs w:val="0"/>
          <w:caps w:val="0"/>
          <w:color w:val="333333"/>
          <w:spacing w:val="0"/>
          <w:sz w:val="24"/>
          <w:szCs w:val="24"/>
          <w:shd w:val="clear" w:fill="FFFFFF"/>
        </w:rPr>
      </w:pPr>
      <w:r>
        <w:rPr>
          <w:rFonts w:hint="default" w:ascii="Arial" w:hAnsi="Arial" w:cs="Arial"/>
          <w:i w:val="0"/>
          <w:iCs w:val="0"/>
          <w:caps w:val="0"/>
          <w:color w:val="333333"/>
          <w:spacing w:val="0"/>
          <w:sz w:val="24"/>
          <w:szCs w:val="24"/>
          <w:shd w:val="clear" w:fill="FFFFFF"/>
        </w:rPr>
        <w:t>中药材产地加工（趁鲜切制）与中药饮片的质量密切相关，应当对其质量和工艺流程严格控制。中药材来源应当符合国家标准或省级标准的相应规定，净选、切制、干燥等应当按照工艺规程进行加工，在切制、干燥、包装、贮藏、运输过程中，应当采取措施防止变质发霉、污染和交叉污染、混淆、差错的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Arial" w:hAnsi="Arial" w:cs="Arial"/>
          <w:i w:val="0"/>
          <w:iCs w:val="0"/>
          <w:caps w:val="0"/>
          <w:color w:val="auto"/>
          <w:spacing w:val="0"/>
          <w:sz w:val="24"/>
          <w:szCs w:val="24"/>
          <w:shd w:val="clear" w:fill="FFFFFF"/>
        </w:rPr>
      </w:pPr>
      <w:r>
        <w:rPr>
          <w:rFonts w:hint="eastAsia" w:ascii="Arial" w:hAnsi="Arial" w:cs="Arial"/>
          <w:i w:val="0"/>
          <w:iCs w:val="0"/>
          <w:caps w:val="0"/>
          <w:color w:val="auto"/>
          <w:spacing w:val="0"/>
          <w:sz w:val="24"/>
          <w:szCs w:val="24"/>
          <w:shd w:val="clear" w:fill="FFFFFF"/>
        </w:rPr>
        <w:t>鲜切药材加工企业应建立生产质量管理体系，全过程控制趁鲜切制药材质量，不得外购鲜切药材以本企业名义销售给中药饮片生产企业用于生产。</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1" w:firstLineChars="200"/>
        <w:jc w:val="both"/>
        <w:textAlignment w:val="auto"/>
        <w:rPr>
          <w:rFonts w:hint="eastAsia" w:ascii="Arial" w:hAnsi="Arial" w:cs="Arial"/>
          <w:b/>
          <w:bCs/>
          <w:i w:val="0"/>
          <w:iCs w:val="0"/>
          <w:caps w:val="0"/>
          <w:color w:val="333333"/>
          <w:spacing w:val="0"/>
          <w:sz w:val="24"/>
          <w:szCs w:val="24"/>
          <w:shd w:val="clear" w:fill="FFFFFF"/>
          <w:lang w:val="en-US" w:eastAsia="zh-CN"/>
        </w:rPr>
      </w:pPr>
      <w:r>
        <w:rPr>
          <w:rFonts w:hint="eastAsia" w:ascii="Arial" w:hAnsi="Arial" w:cs="Arial"/>
          <w:b/>
          <w:bCs/>
          <w:i w:val="0"/>
          <w:iCs w:val="0"/>
          <w:caps w:val="0"/>
          <w:color w:val="333333"/>
          <w:spacing w:val="0"/>
          <w:sz w:val="24"/>
          <w:szCs w:val="24"/>
          <w:shd w:val="clear" w:fill="FFFFFF"/>
          <w:lang w:val="en-US" w:eastAsia="zh-CN"/>
        </w:rPr>
        <w:t>三、规范性引用文件</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Arial" w:hAnsi="Arial" w:cs="Arial"/>
          <w:i w:val="0"/>
          <w:iCs w:val="0"/>
          <w:caps w:val="0"/>
          <w:color w:val="333333"/>
          <w:spacing w:val="0"/>
          <w:sz w:val="24"/>
          <w:szCs w:val="24"/>
          <w:shd w:val="clear" w:fill="FFFFFF"/>
          <w:lang w:val="en-US" w:eastAsia="zh-CN"/>
        </w:rPr>
      </w:pPr>
      <w:r>
        <w:rPr>
          <w:rFonts w:hint="eastAsia" w:ascii="Arial" w:hAnsi="Arial" w:cs="Arial"/>
          <w:i w:val="0"/>
          <w:iCs w:val="0"/>
          <w:caps w:val="0"/>
          <w:color w:val="333333"/>
          <w:spacing w:val="0"/>
          <w:sz w:val="24"/>
          <w:szCs w:val="24"/>
          <w:shd w:val="clear" w:fill="FFFFFF"/>
          <w:lang w:val="en-US" w:eastAsia="zh-CN"/>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Arial" w:hAnsi="Arial" w:cs="Arial"/>
          <w:i w:val="0"/>
          <w:iCs w:val="0"/>
          <w:caps w:val="0"/>
          <w:color w:val="333333"/>
          <w:spacing w:val="0"/>
          <w:sz w:val="24"/>
          <w:szCs w:val="24"/>
          <w:shd w:val="clear" w:fill="FFFFFF"/>
        </w:rPr>
      </w:pPr>
      <w:r>
        <w:rPr>
          <w:rFonts w:hint="eastAsia" w:ascii="Arial" w:hAnsi="Arial" w:cs="Arial"/>
          <w:i w:val="0"/>
          <w:iCs w:val="0"/>
          <w:caps w:val="0"/>
          <w:color w:val="333333"/>
          <w:spacing w:val="0"/>
          <w:sz w:val="24"/>
          <w:szCs w:val="24"/>
          <w:shd w:val="clear" w:fill="FFFFFF"/>
        </w:rPr>
        <w:t>GB/T 1.1-2020《标准化工作导则 第1部分︰标准化文件的结构和起草规则》</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shd w:val="clear" w:fill="FFFFFF"/>
        </w:rPr>
      </w:pPr>
      <w:r>
        <w:rPr>
          <w:rFonts w:hint="eastAsia" w:ascii="Arial" w:hAnsi="Arial" w:cs="Arial"/>
          <w:i w:val="0"/>
          <w:iCs w:val="0"/>
          <w:caps w:val="0"/>
          <w:color w:val="333333"/>
          <w:spacing w:val="0"/>
          <w:sz w:val="24"/>
          <w:szCs w:val="24"/>
          <w:shd w:val="clear" w:fill="FFFFFF"/>
        </w:rPr>
        <w:t>GB 5749</w:t>
      </w:r>
      <w:r>
        <w:rPr>
          <w:rFonts w:hint="eastAsia" w:ascii="Arial" w:hAnsi="Arial" w:cs="Arial"/>
          <w:i w:val="0"/>
          <w:iCs w:val="0"/>
          <w:caps w:val="0"/>
          <w:color w:val="333333"/>
          <w:spacing w:val="0"/>
          <w:sz w:val="24"/>
          <w:szCs w:val="24"/>
          <w:shd w:val="clear" w:fill="FFFFFF"/>
          <w:lang w:val="en-US" w:eastAsia="zh-CN"/>
        </w:rPr>
        <w:t>-2022</w:t>
      </w:r>
      <w:r>
        <w:rPr>
          <w:rFonts w:hint="eastAsia" w:ascii="Arial" w:hAnsi="Arial" w:cs="Arial"/>
          <w:i w:val="0"/>
          <w:iCs w:val="0"/>
          <w:caps w:val="0"/>
          <w:color w:val="333333"/>
          <w:spacing w:val="0"/>
          <w:sz w:val="24"/>
          <w:szCs w:val="24"/>
          <w:shd w:val="clear" w:fill="FFFFFF"/>
        </w:rPr>
        <w:t xml:space="preserve"> 生活饮用水卫生标准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Arial" w:hAnsi="Arial" w:cs="Arial"/>
          <w:i w:val="0"/>
          <w:iCs w:val="0"/>
          <w:caps w:val="0"/>
          <w:color w:val="333333"/>
          <w:spacing w:val="0"/>
          <w:sz w:val="24"/>
          <w:szCs w:val="24"/>
          <w:shd w:val="clear" w:fill="FFFFFF"/>
          <w:lang w:val="en-US" w:eastAsia="zh-CN"/>
        </w:rPr>
      </w:pPr>
      <w:r>
        <w:rPr>
          <w:rFonts w:hint="eastAsia" w:ascii="Arial" w:hAnsi="Arial" w:cs="Arial"/>
          <w:i w:val="0"/>
          <w:iCs w:val="0"/>
          <w:caps w:val="0"/>
          <w:color w:val="333333"/>
          <w:spacing w:val="0"/>
          <w:sz w:val="24"/>
          <w:szCs w:val="24"/>
          <w:shd w:val="clear" w:fill="FFFFFF"/>
        </w:rPr>
        <w:t>《中华人民共和国药典》</w:t>
      </w:r>
      <w:r>
        <w:rPr>
          <w:rFonts w:hint="eastAsia" w:ascii="Arial" w:hAnsi="Arial" w:cs="Arial"/>
          <w:i w:val="0"/>
          <w:iCs w:val="0"/>
          <w:caps w:val="0"/>
          <w:color w:val="333333"/>
          <w:spacing w:val="0"/>
          <w:sz w:val="24"/>
          <w:szCs w:val="24"/>
          <w:shd w:val="clear" w:fill="FFFFFF"/>
          <w:lang w:val="en-US" w:eastAsia="zh-CN"/>
        </w:rPr>
        <w:t xml:space="preserve">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Arial" w:hAnsi="Arial" w:cs="Arial"/>
          <w:i w:val="0"/>
          <w:iCs w:val="0"/>
          <w:caps w:val="0"/>
          <w:color w:val="333333"/>
          <w:spacing w:val="0"/>
          <w:sz w:val="24"/>
          <w:szCs w:val="24"/>
          <w:shd w:val="clear" w:fill="FFFFFF"/>
          <w:lang w:val="en-US" w:eastAsia="zh-CN"/>
        </w:rPr>
      </w:pPr>
      <w:r>
        <w:rPr>
          <w:rFonts w:hint="eastAsia" w:ascii="Arial" w:hAnsi="Arial" w:cs="Arial"/>
          <w:i w:val="0"/>
          <w:iCs w:val="0"/>
          <w:caps w:val="0"/>
          <w:color w:val="333333"/>
          <w:spacing w:val="0"/>
          <w:sz w:val="24"/>
          <w:szCs w:val="24"/>
          <w:shd w:val="clear" w:fill="FFFFFF"/>
          <w:lang w:val="en-US" w:eastAsia="zh-CN"/>
        </w:rPr>
        <w:t>《中药材生产质量管理规范》</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Arial" w:hAnsi="Arial" w:cs="Arial"/>
          <w:i w:val="0"/>
          <w:iCs w:val="0"/>
          <w:caps w:val="0"/>
          <w:color w:val="333333"/>
          <w:spacing w:val="0"/>
          <w:sz w:val="24"/>
          <w:szCs w:val="24"/>
          <w:shd w:val="clear" w:fill="FFFFFF"/>
        </w:rPr>
      </w:pPr>
      <w:r>
        <w:rPr>
          <w:rFonts w:hint="eastAsia" w:ascii="Arial" w:hAnsi="Arial" w:cs="Arial"/>
          <w:i w:val="0"/>
          <w:iCs w:val="0"/>
          <w:caps w:val="0"/>
          <w:color w:val="333333"/>
          <w:spacing w:val="0"/>
          <w:sz w:val="24"/>
          <w:szCs w:val="24"/>
          <w:shd w:val="clear" w:fill="FFFFFF"/>
        </w:rPr>
        <w:t>《宁夏回族自治区药品监督管理局中药材产地加工（趁鲜切制）指导原则》</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Arial" w:hAnsi="Arial" w:cs="Arial"/>
          <w:i w:val="0"/>
          <w:iCs w:val="0"/>
          <w:caps w:val="0"/>
          <w:color w:val="333333"/>
          <w:spacing w:val="0"/>
          <w:sz w:val="24"/>
          <w:szCs w:val="24"/>
          <w:shd w:val="clear" w:fill="FFFFFF"/>
          <w:lang w:val="en-US" w:eastAsia="zh-CN"/>
        </w:rPr>
      </w:pPr>
      <w:r>
        <w:rPr>
          <w:rFonts w:hint="eastAsia" w:ascii="Arial" w:hAnsi="Arial" w:cs="Arial"/>
          <w:i w:val="0"/>
          <w:iCs w:val="0"/>
          <w:caps w:val="0"/>
          <w:color w:val="333333"/>
          <w:spacing w:val="0"/>
          <w:sz w:val="24"/>
          <w:szCs w:val="24"/>
          <w:shd w:val="clear" w:fill="FFFFFF"/>
          <w:lang w:val="en-US" w:eastAsia="zh-CN"/>
        </w:rPr>
        <w:t>《宁夏中药材标准》 2018年版</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Arial" w:hAnsi="Arial" w:cs="Arial"/>
          <w:i w:val="0"/>
          <w:iCs w:val="0"/>
          <w:caps w:val="0"/>
          <w:color w:val="333333"/>
          <w:spacing w:val="0"/>
          <w:sz w:val="24"/>
          <w:szCs w:val="24"/>
          <w:shd w:val="clear" w:fill="FFFFFF"/>
          <w:lang w:val="en-US" w:eastAsia="zh-CN"/>
        </w:rPr>
      </w:pPr>
      <w:r>
        <w:rPr>
          <w:rFonts w:hint="eastAsia" w:ascii="Arial" w:hAnsi="Arial" w:cs="Arial"/>
          <w:i w:val="0"/>
          <w:iCs w:val="0"/>
          <w:caps w:val="0"/>
          <w:color w:val="333333"/>
          <w:spacing w:val="0"/>
          <w:sz w:val="24"/>
          <w:szCs w:val="24"/>
          <w:shd w:val="clear" w:fill="FFFFFF"/>
          <w:lang w:val="en-US" w:eastAsia="zh-CN"/>
        </w:rPr>
        <w:t>《宁夏中药饮片炮制规范》2017年版</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snapToGrid/>
        <w:spacing w:before="0" w:beforeAutospacing="0" w:after="0" w:afterAutospacing="0" w:line="360" w:lineRule="auto"/>
        <w:ind w:right="0" w:rightChars="0" w:firstLine="481" w:firstLineChars="200"/>
        <w:jc w:val="both"/>
        <w:textAlignment w:val="auto"/>
        <w:rPr>
          <w:rFonts w:hint="eastAsia" w:ascii="Arial" w:hAnsi="Arial" w:cs="Arial"/>
          <w:b/>
          <w:bCs/>
          <w:i w:val="0"/>
          <w:iCs w:val="0"/>
          <w:caps w:val="0"/>
          <w:color w:val="333333"/>
          <w:spacing w:val="0"/>
          <w:sz w:val="24"/>
          <w:szCs w:val="24"/>
          <w:shd w:val="clear" w:fill="FFFFFF"/>
          <w:lang w:val="en-US" w:eastAsia="zh-CN"/>
        </w:rPr>
      </w:pPr>
      <w:r>
        <w:rPr>
          <w:rFonts w:hint="eastAsia" w:ascii="Arial" w:hAnsi="Arial" w:cs="Arial"/>
          <w:b/>
          <w:bCs/>
          <w:i w:val="0"/>
          <w:iCs w:val="0"/>
          <w:caps w:val="0"/>
          <w:color w:val="333333"/>
          <w:spacing w:val="0"/>
          <w:sz w:val="24"/>
          <w:szCs w:val="24"/>
          <w:shd w:val="clear" w:fill="FFFFFF"/>
          <w:lang w:val="en-US" w:eastAsia="zh-CN"/>
        </w:rPr>
        <w:t>四、术语与定义</w:t>
      </w:r>
    </w:p>
    <w:sdt>
      <w:sdtPr>
        <w:id w:val="-1909835108"/>
        <w:placeholder>
          <w:docPart w:val="{0b00b7d5-6ba0-45fa-a381-d464ab6a42f2}"/>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ascii="Arial" w:hAnsi="Arial" w:cs="Arial" w:eastAsiaTheme="minorEastAsia"/>
          <w:i w:val="0"/>
          <w:iCs w:val="0"/>
          <w:caps w:val="0"/>
          <w:color w:val="333333"/>
          <w:spacing w:val="0"/>
          <w:kern w:val="0"/>
          <w:sz w:val="24"/>
          <w:szCs w:val="24"/>
          <w:shd w:val="clear" w:fill="FFFFFF"/>
          <w:lang w:val="en-US" w:eastAsia="zh-CN" w:bidi="ar"/>
        </w:rPr>
      </w:sdtEndPr>
      <w:sdtContent>
        <w:p>
          <w:pPr>
            <w:pStyle w:val="12"/>
            <w:keepNext w:val="0"/>
            <w:keepLines w:val="0"/>
            <w:pageBreakBefore w:val="0"/>
            <w:widowControl/>
            <w:kinsoku/>
            <w:wordWrap/>
            <w:overflowPunct/>
            <w:topLinePunct w:val="0"/>
            <w:bidi w:val="0"/>
            <w:adjustRightInd/>
            <w:snapToGrid/>
            <w:spacing w:line="360" w:lineRule="auto"/>
            <w:ind w:firstLine="420"/>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bookmarkStart w:id="1" w:name="_Toc26986532"/>
          <w:bookmarkEnd w:id="1"/>
          <w:r>
            <w:rPr>
              <w:rFonts w:hint="eastAsia" w:ascii="Arial" w:hAnsi="Arial" w:cs="Arial" w:eastAsiaTheme="minorEastAsia"/>
              <w:i w:val="0"/>
              <w:iCs w:val="0"/>
              <w:caps w:val="0"/>
              <w:color w:val="333333"/>
              <w:spacing w:val="0"/>
              <w:kern w:val="0"/>
              <w:sz w:val="24"/>
              <w:szCs w:val="24"/>
              <w:shd w:val="clear" w:fill="FFFFFF"/>
              <w:lang w:val="en-US" w:eastAsia="zh-CN" w:bidi="ar"/>
            </w:rPr>
            <w:t>下列术语和定义适用于本文件。</w:t>
          </w:r>
        </w:p>
      </w:sdtContent>
    </w:sdt>
    <w:p>
      <w:pPr>
        <w:pStyle w:val="12"/>
        <w:keepNext w:val="0"/>
        <w:keepLines w:val="0"/>
        <w:pageBreakBefore w:val="0"/>
        <w:widowControl/>
        <w:numPr>
          <w:ilvl w:val="0"/>
          <w:numId w:val="0"/>
        </w:numPr>
        <w:kinsoku/>
        <w:wordWrap/>
        <w:overflowPunct/>
        <w:topLinePunct w:val="0"/>
        <w:autoSpaceDE w:val="0"/>
        <w:autoSpaceDN w:val="0"/>
        <w:bidi w:val="0"/>
        <w:adjustRightInd/>
        <w:snapToGrid/>
        <w:spacing w:line="360" w:lineRule="auto"/>
        <w:textAlignment w:val="auto"/>
        <w:rPr>
          <w:rFonts w:hint="eastAsia" w:ascii="Arial" w:hAnsi="Arial" w:cs="Arial" w:eastAsiaTheme="minorEastAsia"/>
          <w:b/>
          <w:bCs/>
          <w:i w:val="0"/>
          <w:iCs w:val="0"/>
          <w:caps w:val="0"/>
          <w:color w:val="333333"/>
          <w:spacing w:val="0"/>
          <w:kern w:val="0"/>
          <w:sz w:val="24"/>
          <w:szCs w:val="24"/>
          <w:shd w:val="clear" w:fill="FFFFFF"/>
          <w:lang w:val="en-US" w:eastAsia="zh-CN" w:bidi="ar"/>
        </w:rPr>
      </w:pPr>
      <w:r>
        <w:rPr>
          <w:rFonts w:hint="eastAsia" w:ascii="黑体" w:hAnsi="黑体" w:eastAsia="黑体"/>
          <w:lang w:val="en-US" w:eastAsia="zh-CN"/>
        </w:rPr>
        <w:t xml:space="preserve">   </w:t>
      </w:r>
      <w:r>
        <w:rPr>
          <w:rFonts w:hint="eastAsia" w:ascii="Arial" w:hAnsi="Arial" w:cs="Arial" w:eastAsiaTheme="minorEastAsia"/>
          <w:b/>
          <w:bCs/>
          <w:i w:val="0"/>
          <w:iCs w:val="0"/>
          <w:caps w:val="0"/>
          <w:color w:val="333333"/>
          <w:spacing w:val="0"/>
          <w:kern w:val="0"/>
          <w:sz w:val="24"/>
          <w:szCs w:val="24"/>
          <w:shd w:val="clear" w:fill="FFFFFF"/>
          <w:lang w:val="en-US" w:eastAsia="zh-CN" w:bidi="ar"/>
        </w:rPr>
        <w:t xml:space="preserve"> 1. 趁鲜切制</w:t>
      </w:r>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即按照产地鲜切加工方法将采收的新鲜或未完全干燥的中药材切制成片、块、段、瓣等，虽改变了中药材形态，但未改变中药材性质。</w:t>
      </w:r>
    </w:p>
    <w:p>
      <w:pPr>
        <w:pStyle w:val="14"/>
        <w:keepNext w:val="0"/>
        <w:keepLines w:val="0"/>
        <w:pageBreakBefore w:val="0"/>
        <w:numPr>
          <w:ilvl w:val="2"/>
          <w:numId w:val="0"/>
        </w:numPr>
        <w:kinsoku/>
        <w:wordWrap/>
        <w:overflowPunct/>
        <w:topLinePunct w:val="0"/>
        <w:bidi w:val="0"/>
        <w:adjustRightInd/>
        <w:snapToGrid/>
        <w:spacing w:beforeLines="50" w:afterLines="50" w:line="360" w:lineRule="auto"/>
        <w:ind w:firstLine="481" w:firstLineChars="200"/>
        <w:textAlignment w:val="auto"/>
        <w:rPr>
          <w:rFonts w:hint="eastAsia" w:ascii="Arial" w:hAnsi="Arial" w:cs="Arial" w:eastAsiaTheme="minorEastAsia"/>
          <w:b/>
          <w:bCs/>
          <w:i w:val="0"/>
          <w:iCs w:val="0"/>
          <w:caps w:val="0"/>
          <w:color w:val="333333"/>
          <w:spacing w:val="0"/>
          <w:kern w:val="0"/>
          <w:sz w:val="24"/>
          <w:szCs w:val="24"/>
          <w:shd w:val="clear" w:fill="FFFFFF"/>
          <w:lang w:val="en-US" w:eastAsia="zh-CN" w:bidi="ar"/>
        </w:rPr>
      </w:pPr>
      <w:r>
        <w:rPr>
          <w:rFonts w:hint="eastAsia" w:ascii="Arial" w:hAnsi="Arial" w:cs="Arial" w:eastAsiaTheme="minorEastAsia"/>
          <w:b/>
          <w:bCs/>
          <w:i w:val="0"/>
          <w:iCs w:val="0"/>
          <w:caps w:val="0"/>
          <w:color w:val="333333"/>
          <w:spacing w:val="0"/>
          <w:kern w:val="0"/>
          <w:sz w:val="24"/>
          <w:szCs w:val="24"/>
          <w:shd w:val="clear" w:fill="FFFFFF"/>
          <w:lang w:val="en-US" w:eastAsia="zh-CN" w:bidi="ar"/>
        </w:rPr>
        <w:t>2. 鲜切药材名称</w:t>
      </w:r>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b/>
          <w:bCs/>
          <w:i w:val="0"/>
          <w:iCs w:val="0"/>
          <w:caps w:val="0"/>
          <w:color w:val="333333"/>
          <w:spacing w:val="0"/>
          <w:kern w:val="0"/>
          <w:sz w:val="24"/>
          <w:szCs w:val="24"/>
          <w:shd w:val="clear" w:fill="FFFFFF"/>
          <w:lang w:val="en-US" w:eastAsia="zh-CN" w:bidi="ar"/>
        </w:rPr>
        <w:t xml:space="preserve"> </w:t>
      </w:r>
      <w:r>
        <w:rPr>
          <w:rFonts w:hint="eastAsia" w:ascii="Arial" w:hAnsi="Arial" w:cs="Arial" w:eastAsiaTheme="minorEastAsia"/>
          <w:i w:val="0"/>
          <w:iCs w:val="0"/>
          <w:caps w:val="0"/>
          <w:color w:val="333333"/>
          <w:spacing w:val="0"/>
          <w:kern w:val="0"/>
          <w:sz w:val="24"/>
          <w:szCs w:val="24"/>
          <w:shd w:val="clear" w:fill="FFFFFF"/>
          <w:lang w:val="en-US" w:eastAsia="zh-CN" w:bidi="ar"/>
        </w:rPr>
        <w:t xml:space="preserve"> 需采用《中国药典》2025年版规定的药材命名原则与书写方式。如板蓝根：本品为十字花科植物菘蓝Isatis indigotica Fort.的干燥根。</w:t>
      </w:r>
    </w:p>
    <w:p>
      <w:pPr>
        <w:pStyle w:val="14"/>
        <w:keepNext w:val="0"/>
        <w:keepLines w:val="0"/>
        <w:pageBreakBefore w:val="0"/>
        <w:numPr>
          <w:ilvl w:val="2"/>
          <w:numId w:val="0"/>
        </w:numPr>
        <w:kinsoku/>
        <w:wordWrap/>
        <w:overflowPunct/>
        <w:topLinePunct w:val="0"/>
        <w:bidi w:val="0"/>
        <w:adjustRightInd/>
        <w:snapToGrid/>
        <w:spacing w:beforeLines="50" w:afterLines="50" w:line="360" w:lineRule="auto"/>
        <w:ind w:firstLine="481" w:firstLineChars="200"/>
        <w:textAlignment w:val="auto"/>
        <w:rPr>
          <w:rFonts w:hint="eastAsia" w:ascii="Arial" w:hAnsi="Arial" w:cs="Arial" w:eastAsiaTheme="minorEastAsia"/>
          <w:b/>
          <w:bCs/>
          <w:i w:val="0"/>
          <w:iCs w:val="0"/>
          <w:caps w:val="0"/>
          <w:color w:val="333333"/>
          <w:spacing w:val="0"/>
          <w:kern w:val="0"/>
          <w:sz w:val="24"/>
          <w:szCs w:val="24"/>
          <w:shd w:val="clear" w:fill="FFFFFF"/>
          <w:lang w:val="en-US" w:eastAsia="zh-CN" w:bidi="ar"/>
        </w:rPr>
      </w:pPr>
      <w:r>
        <w:rPr>
          <w:rFonts w:hint="eastAsia" w:ascii="Arial" w:hAnsi="Arial" w:cs="Arial" w:eastAsiaTheme="minorEastAsia"/>
          <w:b/>
          <w:bCs/>
          <w:i w:val="0"/>
          <w:iCs w:val="0"/>
          <w:caps w:val="0"/>
          <w:color w:val="333333"/>
          <w:spacing w:val="0"/>
          <w:kern w:val="0"/>
          <w:sz w:val="24"/>
          <w:szCs w:val="24"/>
          <w:shd w:val="clear" w:fill="FFFFFF"/>
          <w:lang w:val="en-US" w:eastAsia="zh-CN" w:bidi="ar"/>
        </w:rPr>
        <w:t>3. 批</w:t>
      </w:r>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auto"/>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趁鲜切制批次划分应以同一基原、同一种植养殖基地、生产周期相同，且生态环境及条件、采收时间、产地加工方法基本一致，以及质量基本均一的中药材。</w:t>
      </w:r>
    </w:p>
    <w:p>
      <w:pPr>
        <w:pStyle w:val="12"/>
        <w:keepNext w:val="0"/>
        <w:keepLines w:val="0"/>
        <w:pageBreakBefore w:val="0"/>
        <w:widowControl/>
        <w:numPr>
          <w:ilvl w:val="0"/>
          <w:numId w:val="2"/>
        </w:numPr>
        <w:kinsoku/>
        <w:wordWrap/>
        <w:overflowPunct/>
        <w:topLinePunct w:val="0"/>
        <w:autoSpaceDE w:val="0"/>
        <w:autoSpaceDN w:val="0"/>
        <w:bidi w:val="0"/>
        <w:adjustRightInd/>
        <w:snapToGrid/>
        <w:spacing w:line="360" w:lineRule="auto"/>
        <w:textAlignment w:val="auto"/>
        <w:rPr>
          <w:rFonts w:hint="default"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净选：</w:t>
      </w:r>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即净选加工。可根据具体情况，分别使用挑选、筛选、风选、水选、剪、切、刮、削、剔除等方法，以达到净度要求。</w:t>
      </w:r>
      <w:bookmarkStart w:id="2" w:name="_Toc182482471"/>
      <w:bookmarkStart w:id="3" w:name="_Hlk182483339"/>
    </w:p>
    <w:p>
      <w:pPr>
        <w:pStyle w:val="12"/>
        <w:keepNext w:val="0"/>
        <w:keepLines w:val="0"/>
        <w:pageBreakBefore w:val="0"/>
        <w:widowControl/>
        <w:numPr>
          <w:ilvl w:val="0"/>
          <w:numId w:val="2"/>
        </w:numPr>
        <w:kinsoku/>
        <w:wordWrap/>
        <w:overflowPunct/>
        <w:topLinePunct w:val="0"/>
        <w:autoSpaceDE w:val="0"/>
        <w:autoSpaceDN w:val="0"/>
        <w:bidi w:val="0"/>
        <w:adjustRightInd/>
        <w:snapToGrid/>
        <w:spacing w:line="360" w:lineRule="auto"/>
        <w:ind w:left="0" w:leftChars="0" w:firstLine="481" w:firstLineChars="20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干燥</w:t>
      </w:r>
      <w:bookmarkEnd w:id="2"/>
      <w:bookmarkStart w:id="4" w:name="_Hlk182481093"/>
    </w:p>
    <w:p>
      <w:pPr>
        <w:pStyle w:val="12"/>
        <w:keepNext w:val="0"/>
        <w:keepLines w:val="0"/>
        <w:pageBreakBefore w:val="0"/>
        <w:widowControl/>
        <w:numPr>
          <w:ilvl w:val="0"/>
          <w:numId w:val="0"/>
        </w:numPr>
        <w:kinsoku/>
        <w:wordWrap/>
        <w:overflowPunct/>
        <w:topLinePunct w:val="0"/>
        <w:bidi w:val="0"/>
        <w:adjustRightInd/>
        <w:snapToGrid/>
        <w:spacing w:line="360" w:lineRule="auto"/>
        <w:ind w:firstLine="481" w:firstLineChars="20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5.1 晾晒</w:t>
      </w:r>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切制后的药材置晾晒房中，平铺于无毒害篷布上，或铺于不锈钢筛网架盘中，厚度为1~3cm（可根据具体气候条件与样品实际情况进行适当地厚度调整），晾晒至水分达到该品种项的要求。</w:t>
      </w:r>
    </w:p>
    <w:p>
      <w:pPr>
        <w:pStyle w:val="12"/>
        <w:keepNext w:val="0"/>
        <w:keepLines w:val="0"/>
        <w:pageBreakBefore w:val="0"/>
        <w:widowControl/>
        <w:numPr>
          <w:ilvl w:val="0"/>
          <w:numId w:val="0"/>
        </w:numPr>
        <w:kinsoku/>
        <w:wordWrap/>
        <w:overflowPunct/>
        <w:topLinePunct w:val="0"/>
        <w:bidi w:val="0"/>
        <w:adjustRightInd/>
        <w:snapToGrid/>
        <w:spacing w:line="360" w:lineRule="auto"/>
        <w:ind w:leftChars="20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5.2 烘干</w:t>
      </w:r>
    </w:p>
    <w:bookmarkEnd w:id="4"/>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封闭式烘箱或敞开式鼓风烘干设备干燥：将切制后的药材平铺于不锈钢筛网架盘中，厚度不超过3cm，敞开式鼓风烘干设备，厚度不超过10cm。烘干温度40～60℃，干燥至水分达到该品种项的要求。</w:t>
      </w:r>
      <w:bookmarkEnd w:id="3"/>
      <w:bookmarkStart w:id="5" w:name="_Toc182482472"/>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5.3 翻动</w:t>
      </w:r>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干燥过程中，应根据药材的具体情况及时进行翻动，确保药材均匀干燥。</w:t>
      </w:r>
    </w:p>
    <w:p>
      <w:pPr>
        <w:pStyle w:val="12"/>
        <w:keepNext w:val="0"/>
        <w:keepLines w:val="0"/>
        <w:pageBreakBefore w:val="0"/>
        <w:widowControl/>
        <w:numPr>
          <w:ilvl w:val="0"/>
          <w:numId w:val="2"/>
        </w:numPr>
        <w:kinsoku/>
        <w:wordWrap/>
        <w:overflowPunct/>
        <w:topLinePunct w:val="0"/>
        <w:autoSpaceDE w:val="0"/>
        <w:autoSpaceDN w:val="0"/>
        <w:bidi w:val="0"/>
        <w:adjustRightInd/>
        <w:snapToGrid/>
        <w:spacing w:line="360" w:lineRule="auto"/>
        <w:ind w:left="0" w:leftChars="0" w:firstLine="481" w:firstLineChars="20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筛选</w:t>
      </w:r>
      <w:bookmarkEnd w:id="5"/>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将干燥后的鲜切药材片进行挑选、筛选，除去碎末、杂质、异形片，得到不同规格的产地鲜切药材。</w:t>
      </w:r>
      <w:bookmarkStart w:id="6" w:name="_Toc182482473"/>
      <w:bookmarkStart w:id="7" w:name="_Toc172828346"/>
      <w:bookmarkStart w:id="8" w:name="_Toc175444849"/>
      <w:bookmarkStart w:id="9" w:name="_Toc169705277"/>
    </w:p>
    <w:p>
      <w:pPr>
        <w:pStyle w:val="12"/>
        <w:keepNext w:val="0"/>
        <w:keepLines w:val="0"/>
        <w:pageBreakBefore w:val="0"/>
        <w:widowControl/>
        <w:numPr>
          <w:ilvl w:val="0"/>
          <w:numId w:val="2"/>
        </w:numPr>
        <w:kinsoku/>
        <w:wordWrap/>
        <w:overflowPunct/>
        <w:topLinePunct w:val="0"/>
        <w:autoSpaceDE w:val="0"/>
        <w:autoSpaceDN w:val="0"/>
        <w:bidi w:val="0"/>
        <w:adjustRightInd/>
        <w:snapToGrid/>
        <w:spacing w:line="360" w:lineRule="auto"/>
        <w:ind w:left="0" w:leftChars="0" w:firstLine="481" w:firstLineChars="20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文件管理</w:t>
      </w:r>
      <w:bookmarkEnd w:id="6"/>
      <w:bookmarkEnd w:id="7"/>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趁鲜切制应制定明确的生产管理、质量管理等标准操作规程。药材的生产全过程应详细记录，记录要求内容真实，数据完整，字迹清晰，确保生产过程可追溯。所有趁鲜加工的资料、记录应存档，档案资料应有专人保管，保存期限不得低于鲜切药材售出后5年。</w:t>
      </w:r>
      <w:bookmarkEnd w:id="8"/>
      <w:bookmarkEnd w:id="9"/>
      <w:bookmarkStart w:id="10" w:name="_Toc57368824"/>
      <w:bookmarkStart w:id="11" w:name="_Toc57368876"/>
      <w:bookmarkStart w:id="12" w:name="_Toc144916606"/>
      <w:bookmarkStart w:id="13" w:name="_Toc144916977"/>
      <w:bookmarkStart w:id="14" w:name="_Toc169705278"/>
      <w:bookmarkStart w:id="15" w:name="_Toc175444850"/>
      <w:bookmarkStart w:id="16" w:name="_Toc182482475"/>
    </w:p>
    <w:p>
      <w:pPr>
        <w:pStyle w:val="12"/>
        <w:keepNext w:val="0"/>
        <w:keepLines w:val="0"/>
        <w:pageBreakBefore w:val="0"/>
        <w:widowControl/>
        <w:numPr>
          <w:ilvl w:val="0"/>
          <w:numId w:val="2"/>
        </w:numPr>
        <w:kinsoku/>
        <w:wordWrap/>
        <w:overflowPunct/>
        <w:topLinePunct w:val="0"/>
        <w:autoSpaceDE w:val="0"/>
        <w:autoSpaceDN w:val="0"/>
        <w:bidi w:val="0"/>
        <w:adjustRightInd/>
        <w:snapToGrid/>
        <w:spacing w:line="360" w:lineRule="auto"/>
        <w:ind w:left="0" w:leftChars="0" w:firstLine="481" w:firstLineChars="20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包装</w:t>
      </w:r>
      <w:bookmarkEnd w:id="10"/>
      <w:bookmarkEnd w:id="11"/>
      <w:bookmarkEnd w:id="12"/>
      <w:bookmarkEnd w:id="13"/>
      <w:r>
        <w:rPr>
          <w:rFonts w:hint="eastAsia" w:ascii="Arial" w:hAnsi="Arial" w:cs="Arial" w:eastAsiaTheme="minorEastAsia"/>
          <w:b/>
          <w:bCs/>
          <w:i w:val="0"/>
          <w:iCs w:val="0"/>
          <w:caps w:val="0"/>
          <w:color w:val="auto"/>
          <w:spacing w:val="0"/>
          <w:kern w:val="0"/>
          <w:sz w:val="24"/>
          <w:szCs w:val="24"/>
          <w:shd w:val="clear" w:fill="FFFFFF"/>
          <w:lang w:val="en-US" w:eastAsia="zh-CN" w:bidi="ar"/>
        </w:rPr>
        <w:t>和标签</w:t>
      </w:r>
      <w:bookmarkEnd w:id="14"/>
      <w:bookmarkEnd w:id="15"/>
      <w:bookmarkEnd w:id="16"/>
    </w:p>
    <w:p>
      <w:pPr>
        <w:pStyle w:val="12"/>
        <w:keepNext w:val="0"/>
        <w:keepLines w:val="0"/>
        <w:pageBreakBefore w:val="0"/>
        <w:widowControl/>
        <w:numPr>
          <w:ilvl w:val="0"/>
          <w:numId w:val="0"/>
        </w:numPr>
        <w:kinsoku/>
        <w:wordWrap/>
        <w:overflowPunct/>
        <w:topLinePunct w:val="0"/>
        <w:bidi w:val="0"/>
        <w:adjustRightInd/>
        <w:snapToGrid/>
        <w:spacing w:line="360" w:lineRule="auto"/>
        <w:ind w:leftChars="20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bookmarkStart w:id="17" w:name="_Toc182482476"/>
      <w:r>
        <w:rPr>
          <w:rFonts w:hint="eastAsia" w:ascii="Arial" w:hAnsi="Arial" w:cs="Arial" w:eastAsiaTheme="minorEastAsia"/>
          <w:b/>
          <w:bCs/>
          <w:i w:val="0"/>
          <w:iCs w:val="0"/>
          <w:caps w:val="0"/>
          <w:color w:val="auto"/>
          <w:spacing w:val="0"/>
          <w:kern w:val="0"/>
          <w:sz w:val="24"/>
          <w:szCs w:val="24"/>
          <w:shd w:val="clear" w:fill="FFFFFF"/>
          <w:lang w:val="en-US" w:eastAsia="zh-CN" w:bidi="ar"/>
        </w:rPr>
        <w:t>8.1 包装</w:t>
      </w:r>
      <w:bookmarkEnd w:id="17"/>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auto"/>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鲜切药材应当附有规范的包装和标签，并附质量合格标识。</w:t>
      </w:r>
      <w:r>
        <w:rPr>
          <w:rFonts w:hint="eastAsia" w:ascii="Arial" w:hAnsi="Arial" w:cs="Arial" w:eastAsiaTheme="minorEastAsia"/>
          <w:i w:val="0"/>
          <w:iCs w:val="0"/>
          <w:caps w:val="0"/>
          <w:color w:val="auto"/>
          <w:spacing w:val="0"/>
          <w:kern w:val="0"/>
          <w:sz w:val="24"/>
          <w:szCs w:val="24"/>
          <w:shd w:val="clear" w:fill="FFFFFF"/>
          <w:lang w:val="en-US" w:eastAsia="zh-CN" w:bidi="ar"/>
        </w:rPr>
        <w:t>直接接触产地鲜切药材的包装材料不得对中药材质量产生不良影响，严禁使用饲料、化肥等奇谈产品的包装。</w:t>
      </w:r>
    </w:p>
    <w:p>
      <w:pPr>
        <w:pStyle w:val="12"/>
        <w:keepNext w:val="0"/>
        <w:keepLines w:val="0"/>
        <w:pageBreakBefore w:val="0"/>
        <w:widowControl/>
        <w:numPr>
          <w:ilvl w:val="0"/>
          <w:numId w:val="0"/>
        </w:numPr>
        <w:kinsoku/>
        <w:wordWrap/>
        <w:overflowPunct/>
        <w:topLinePunct w:val="0"/>
        <w:bidi w:val="0"/>
        <w:adjustRightInd/>
        <w:snapToGrid/>
        <w:spacing w:line="360" w:lineRule="auto"/>
        <w:ind w:leftChars="20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bookmarkStart w:id="18" w:name="_Toc182482477"/>
      <w:r>
        <w:rPr>
          <w:rFonts w:hint="eastAsia" w:ascii="Arial" w:hAnsi="Arial" w:cs="Arial" w:eastAsiaTheme="minorEastAsia"/>
          <w:b/>
          <w:bCs/>
          <w:i w:val="0"/>
          <w:iCs w:val="0"/>
          <w:caps w:val="0"/>
          <w:color w:val="auto"/>
          <w:spacing w:val="0"/>
          <w:kern w:val="0"/>
          <w:sz w:val="24"/>
          <w:szCs w:val="24"/>
          <w:shd w:val="clear" w:fill="FFFFFF"/>
          <w:lang w:val="en-US" w:eastAsia="zh-CN" w:bidi="ar"/>
        </w:rPr>
        <w:t>8.2 标签</w:t>
      </w:r>
      <w:bookmarkEnd w:id="18"/>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标签内容应当包括：品名、规格、数量、产地、采收日期、产品批号、贮藏条件、保质期、产地加工企业名称、加工日期、执行标准。</w:t>
      </w:r>
      <w:bookmarkStart w:id="19" w:name="_Toc169705279"/>
      <w:bookmarkStart w:id="20" w:name="_Toc182482478"/>
      <w:bookmarkStart w:id="21" w:name="_Toc144916607"/>
      <w:bookmarkStart w:id="22" w:name="_Toc175444851"/>
      <w:bookmarkStart w:id="23" w:name="_Toc144916978"/>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b/>
          <w:bCs/>
          <w:i w:val="0"/>
          <w:iCs w:val="0"/>
          <w:caps w:val="0"/>
          <w:color w:val="333333"/>
          <w:spacing w:val="0"/>
          <w:kern w:val="0"/>
          <w:sz w:val="21"/>
          <w:szCs w:val="21"/>
          <w:shd w:val="clear" w:fill="FFFFFF"/>
          <w:lang w:val="en-US" w:eastAsia="zh-CN" w:bidi="ar"/>
        </w:rPr>
      </w:pPr>
      <w:r>
        <w:rPr>
          <w:rFonts w:hint="eastAsia" w:ascii="Arial" w:hAnsi="Arial" w:cs="Arial" w:eastAsiaTheme="minorEastAsia"/>
          <w:b/>
          <w:bCs/>
          <w:i w:val="0"/>
          <w:iCs w:val="0"/>
          <w:caps w:val="0"/>
          <w:color w:val="333333"/>
          <w:spacing w:val="0"/>
          <w:kern w:val="0"/>
          <w:sz w:val="21"/>
          <w:szCs w:val="21"/>
          <w:shd w:val="clear" w:fill="FFFFFF"/>
          <w:lang w:val="en-US" w:eastAsia="zh-CN" w:bidi="ar"/>
        </w:rPr>
        <w:t>鲜切药材标签</w:t>
      </w:r>
    </w:p>
    <w:tbl>
      <w:tblPr>
        <w:tblStyle w:val="7"/>
        <w:tblW w:w="8472" w:type="dxa"/>
        <w:tblInd w:w="-3" w:type="dxa"/>
        <w:tblBorders>
          <w:top w:val="single" w:color="000000" w:sz="8" w:space="0"/>
          <w:left w:val="single" w:color="000000" w:sz="8" w:space="0"/>
          <w:bottom w:val="single" w:color="auto"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978"/>
        <w:gridCol w:w="2977"/>
        <w:gridCol w:w="1984"/>
        <w:gridCol w:w="1533"/>
      </w:tblGrid>
      <w:tr>
        <w:tblPrEx>
          <w:tblBorders>
            <w:top w:val="single" w:color="000000" w:sz="8" w:space="0"/>
            <w:left w:val="single" w:color="000000" w:sz="8" w:space="0"/>
            <w:bottom w:val="single" w:color="auto"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2" w:hRule="atLeast"/>
        </w:trPr>
        <w:tc>
          <w:tcPr>
            <w:tcW w:w="1978" w:type="dxa"/>
            <w:shd w:val="clear" w:color="auto" w:fill="auto"/>
            <w:vAlign w:val="center"/>
          </w:tcPr>
          <w:p>
            <w:pPr>
              <w:tabs>
                <w:tab w:val="center" w:pos="4201"/>
                <w:tab w:val="right" w:leader="dot" w:pos="9298"/>
              </w:tabs>
              <w:autoSpaceDE w:val="0"/>
              <w:autoSpaceDN w:val="0"/>
              <w:spacing w:line="360" w:lineRule="exact"/>
              <w:jc w:val="left"/>
              <w:rPr>
                <w:kern w:val="0"/>
              </w:rPr>
            </w:pPr>
            <w:r>
              <w:rPr>
                <w:rFonts w:hint="eastAsia"/>
              </w:rPr>
              <w:t>品名</w:t>
            </w:r>
          </w:p>
        </w:tc>
        <w:tc>
          <w:tcPr>
            <w:tcW w:w="6494" w:type="dxa"/>
            <w:gridSpan w:val="3"/>
            <w:shd w:val="clear" w:color="auto" w:fill="auto"/>
          </w:tcPr>
          <w:p>
            <w:pPr>
              <w:tabs>
                <w:tab w:val="center" w:pos="4201"/>
                <w:tab w:val="right" w:leader="dot" w:pos="9298"/>
              </w:tabs>
              <w:autoSpaceDE w:val="0"/>
              <w:autoSpaceDN w:val="0"/>
              <w:spacing w:line="360" w:lineRule="exact"/>
              <w:jc w:val="center"/>
              <w:rPr>
                <w:kern w:val="0"/>
              </w:rPr>
            </w:pPr>
          </w:p>
        </w:tc>
      </w:tr>
      <w:tr>
        <w:tblPrEx>
          <w:tblBorders>
            <w:top w:val="single" w:color="000000" w:sz="8" w:space="0"/>
            <w:left w:val="single" w:color="000000" w:sz="8" w:space="0"/>
            <w:bottom w:val="single" w:color="auto"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2" w:hRule="atLeast"/>
        </w:trPr>
        <w:tc>
          <w:tcPr>
            <w:tcW w:w="1978" w:type="dxa"/>
            <w:shd w:val="clear" w:color="auto" w:fill="auto"/>
            <w:vAlign w:val="center"/>
          </w:tcPr>
          <w:p>
            <w:pPr>
              <w:tabs>
                <w:tab w:val="center" w:pos="4201"/>
                <w:tab w:val="right" w:leader="dot" w:pos="9298"/>
              </w:tabs>
              <w:autoSpaceDE w:val="0"/>
              <w:autoSpaceDN w:val="0"/>
              <w:spacing w:line="360" w:lineRule="exact"/>
              <w:jc w:val="left"/>
              <w:rPr>
                <w:kern w:val="0"/>
              </w:rPr>
            </w:pPr>
            <w:r>
              <w:rPr>
                <w:rFonts w:hint="eastAsia"/>
              </w:rPr>
              <w:t>规格</w:t>
            </w:r>
          </w:p>
        </w:tc>
        <w:tc>
          <w:tcPr>
            <w:tcW w:w="2977" w:type="dxa"/>
            <w:shd w:val="clear" w:color="auto" w:fill="auto"/>
          </w:tcPr>
          <w:p>
            <w:pPr>
              <w:tabs>
                <w:tab w:val="center" w:pos="4201"/>
                <w:tab w:val="right" w:leader="dot" w:pos="9298"/>
              </w:tabs>
              <w:autoSpaceDE w:val="0"/>
              <w:autoSpaceDN w:val="0"/>
              <w:spacing w:line="360" w:lineRule="exact"/>
              <w:jc w:val="center"/>
              <w:rPr>
                <w:kern w:val="0"/>
              </w:rPr>
            </w:pPr>
          </w:p>
        </w:tc>
        <w:tc>
          <w:tcPr>
            <w:tcW w:w="1984" w:type="dxa"/>
            <w:shd w:val="clear" w:color="auto" w:fill="auto"/>
          </w:tcPr>
          <w:p>
            <w:pPr>
              <w:tabs>
                <w:tab w:val="left" w:pos="353"/>
                <w:tab w:val="center" w:pos="884"/>
                <w:tab w:val="center" w:pos="4201"/>
                <w:tab w:val="right" w:leader="dot" w:pos="9298"/>
              </w:tabs>
              <w:autoSpaceDE w:val="0"/>
              <w:autoSpaceDN w:val="0"/>
              <w:spacing w:line="360" w:lineRule="exact"/>
              <w:jc w:val="center"/>
              <w:rPr>
                <w:kern w:val="0"/>
              </w:rPr>
            </w:pPr>
            <w:r>
              <w:rPr>
                <w:rFonts w:hint="eastAsia"/>
                <w:kern w:val="0"/>
              </w:rPr>
              <w:t>数量</w:t>
            </w:r>
          </w:p>
        </w:tc>
        <w:tc>
          <w:tcPr>
            <w:tcW w:w="1533" w:type="dxa"/>
            <w:shd w:val="clear" w:color="auto" w:fill="auto"/>
          </w:tcPr>
          <w:p>
            <w:pPr>
              <w:tabs>
                <w:tab w:val="center" w:pos="4201"/>
                <w:tab w:val="right" w:leader="dot" w:pos="9298"/>
              </w:tabs>
              <w:autoSpaceDE w:val="0"/>
              <w:autoSpaceDN w:val="0"/>
              <w:spacing w:line="360" w:lineRule="exact"/>
              <w:jc w:val="center"/>
              <w:rPr>
                <w:kern w:val="0"/>
              </w:rPr>
            </w:pPr>
          </w:p>
        </w:tc>
      </w:tr>
      <w:tr>
        <w:tblPrEx>
          <w:tblBorders>
            <w:top w:val="single" w:color="000000" w:sz="8" w:space="0"/>
            <w:left w:val="single" w:color="000000" w:sz="8" w:space="0"/>
            <w:bottom w:val="single" w:color="auto"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2" w:hRule="atLeast"/>
        </w:trPr>
        <w:tc>
          <w:tcPr>
            <w:tcW w:w="1978" w:type="dxa"/>
            <w:shd w:val="clear" w:color="auto" w:fill="auto"/>
            <w:vAlign w:val="center"/>
          </w:tcPr>
          <w:p>
            <w:pPr>
              <w:tabs>
                <w:tab w:val="center" w:pos="4201"/>
                <w:tab w:val="right" w:leader="dot" w:pos="9298"/>
              </w:tabs>
              <w:autoSpaceDE w:val="0"/>
              <w:autoSpaceDN w:val="0"/>
              <w:spacing w:line="360" w:lineRule="exact"/>
              <w:jc w:val="left"/>
              <w:rPr>
                <w:kern w:val="0"/>
              </w:rPr>
            </w:pPr>
            <w:r>
              <w:rPr>
                <w:rFonts w:hint="eastAsia"/>
                <w:kern w:val="0"/>
              </w:rPr>
              <w:t>产地</w:t>
            </w:r>
          </w:p>
        </w:tc>
        <w:tc>
          <w:tcPr>
            <w:tcW w:w="6494" w:type="dxa"/>
            <w:gridSpan w:val="3"/>
            <w:shd w:val="clear" w:color="auto" w:fill="auto"/>
          </w:tcPr>
          <w:p>
            <w:pPr>
              <w:tabs>
                <w:tab w:val="center" w:pos="4201"/>
                <w:tab w:val="right" w:leader="dot" w:pos="9298"/>
              </w:tabs>
              <w:autoSpaceDE w:val="0"/>
              <w:autoSpaceDN w:val="0"/>
              <w:spacing w:line="360" w:lineRule="exact"/>
              <w:jc w:val="left"/>
              <w:rPr>
                <w:kern w:val="0"/>
              </w:rPr>
            </w:pPr>
            <w:r>
              <w:rPr>
                <w:rFonts w:hint="eastAsia"/>
                <w:kern w:val="0"/>
              </w:rPr>
              <w:t xml:space="preserve"> </w:t>
            </w:r>
            <w:r>
              <w:rPr>
                <w:kern w:val="0"/>
              </w:rPr>
              <w:t xml:space="preserve">    </w:t>
            </w:r>
            <w:r>
              <w:rPr>
                <w:rFonts w:hint="eastAsia"/>
                <w:kern w:val="0"/>
              </w:rPr>
              <w:t xml:space="preserve"> </w:t>
            </w:r>
            <w:r>
              <w:rPr>
                <w:kern w:val="0"/>
              </w:rPr>
              <w:t xml:space="preserve"> </w:t>
            </w:r>
            <w:r>
              <w:rPr>
                <w:rFonts w:hint="eastAsia"/>
                <w:kern w:val="0"/>
              </w:rPr>
              <w:t>省      市       县（区、市）      镇        村</w:t>
            </w:r>
          </w:p>
        </w:tc>
      </w:tr>
      <w:tr>
        <w:tblPrEx>
          <w:tblBorders>
            <w:top w:val="single" w:color="000000" w:sz="8" w:space="0"/>
            <w:left w:val="single" w:color="000000" w:sz="8" w:space="0"/>
            <w:bottom w:val="single" w:color="auto"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2" w:hRule="atLeast"/>
        </w:trPr>
        <w:tc>
          <w:tcPr>
            <w:tcW w:w="1978" w:type="dxa"/>
            <w:shd w:val="clear" w:color="auto" w:fill="auto"/>
            <w:vAlign w:val="center"/>
          </w:tcPr>
          <w:p>
            <w:pPr>
              <w:tabs>
                <w:tab w:val="center" w:pos="4201"/>
                <w:tab w:val="right" w:leader="dot" w:pos="9298"/>
              </w:tabs>
              <w:autoSpaceDE w:val="0"/>
              <w:autoSpaceDN w:val="0"/>
              <w:spacing w:line="360" w:lineRule="exact"/>
              <w:jc w:val="left"/>
              <w:rPr>
                <w:kern w:val="0"/>
              </w:rPr>
            </w:pPr>
            <w:r>
              <w:rPr>
                <w:rFonts w:hint="eastAsia"/>
              </w:rPr>
              <w:t>采收日期</w:t>
            </w:r>
          </w:p>
        </w:tc>
        <w:tc>
          <w:tcPr>
            <w:tcW w:w="6494" w:type="dxa"/>
            <w:gridSpan w:val="3"/>
            <w:shd w:val="clear" w:color="auto" w:fill="auto"/>
          </w:tcPr>
          <w:p>
            <w:pPr>
              <w:tabs>
                <w:tab w:val="center" w:pos="4201"/>
                <w:tab w:val="right" w:leader="dot" w:pos="9298"/>
              </w:tabs>
              <w:autoSpaceDE w:val="0"/>
              <w:autoSpaceDN w:val="0"/>
              <w:spacing w:line="360" w:lineRule="exact"/>
              <w:jc w:val="center"/>
              <w:rPr>
                <w:kern w:val="0"/>
              </w:rPr>
            </w:pPr>
          </w:p>
        </w:tc>
      </w:tr>
      <w:tr>
        <w:tblPrEx>
          <w:tblBorders>
            <w:top w:val="single" w:color="000000" w:sz="8" w:space="0"/>
            <w:left w:val="single" w:color="000000" w:sz="8" w:space="0"/>
            <w:bottom w:val="single" w:color="auto"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2" w:hRule="atLeast"/>
        </w:trPr>
        <w:tc>
          <w:tcPr>
            <w:tcW w:w="1978" w:type="dxa"/>
            <w:shd w:val="clear" w:color="auto" w:fill="auto"/>
            <w:vAlign w:val="center"/>
          </w:tcPr>
          <w:p>
            <w:pPr>
              <w:tabs>
                <w:tab w:val="center" w:pos="4201"/>
                <w:tab w:val="right" w:leader="dot" w:pos="9298"/>
              </w:tabs>
              <w:autoSpaceDE w:val="0"/>
              <w:autoSpaceDN w:val="0"/>
              <w:spacing w:line="360" w:lineRule="exact"/>
              <w:jc w:val="left"/>
              <w:rPr>
                <w:kern w:val="0"/>
              </w:rPr>
            </w:pPr>
            <w:r>
              <w:rPr>
                <w:rFonts w:hint="eastAsia"/>
              </w:rPr>
              <w:t>产品批号</w:t>
            </w:r>
          </w:p>
        </w:tc>
        <w:tc>
          <w:tcPr>
            <w:tcW w:w="6494" w:type="dxa"/>
            <w:gridSpan w:val="3"/>
            <w:shd w:val="clear" w:color="auto" w:fill="auto"/>
          </w:tcPr>
          <w:p>
            <w:pPr>
              <w:tabs>
                <w:tab w:val="center" w:pos="4201"/>
                <w:tab w:val="right" w:leader="dot" w:pos="9298"/>
              </w:tabs>
              <w:autoSpaceDE w:val="0"/>
              <w:autoSpaceDN w:val="0"/>
              <w:spacing w:line="360" w:lineRule="exact"/>
              <w:jc w:val="center"/>
              <w:rPr>
                <w:kern w:val="0"/>
              </w:rPr>
            </w:pPr>
          </w:p>
        </w:tc>
      </w:tr>
      <w:tr>
        <w:tblPrEx>
          <w:tblBorders>
            <w:top w:val="single" w:color="000000" w:sz="8" w:space="0"/>
            <w:left w:val="single" w:color="000000" w:sz="8" w:space="0"/>
            <w:bottom w:val="single" w:color="auto"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2" w:hRule="atLeast"/>
        </w:trPr>
        <w:tc>
          <w:tcPr>
            <w:tcW w:w="1978" w:type="dxa"/>
            <w:shd w:val="clear" w:color="auto" w:fill="auto"/>
            <w:vAlign w:val="center"/>
          </w:tcPr>
          <w:p>
            <w:pPr>
              <w:tabs>
                <w:tab w:val="center" w:pos="4201"/>
                <w:tab w:val="right" w:leader="dot" w:pos="9298"/>
              </w:tabs>
              <w:autoSpaceDE w:val="0"/>
              <w:autoSpaceDN w:val="0"/>
              <w:spacing w:line="360" w:lineRule="exact"/>
              <w:jc w:val="left"/>
              <w:rPr>
                <w:kern w:val="0"/>
              </w:rPr>
            </w:pPr>
            <w:r>
              <w:rPr>
                <w:rFonts w:hint="eastAsia"/>
              </w:rPr>
              <w:t>贮藏条件</w:t>
            </w:r>
          </w:p>
        </w:tc>
        <w:tc>
          <w:tcPr>
            <w:tcW w:w="2977" w:type="dxa"/>
            <w:shd w:val="clear" w:color="auto" w:fill="auto"/>
          </w:tcPr>
          <w:p>
            <w:pPr>
              <w:tabs>
                <w:tab w:val="center" w:pos="4201"/>
                <w:tab w:val="right" w:leader="dot" w:pos="9298"/>
              </w:tabs>
              <w:autoSpaceDE w:val="0"/>
              <w:autoSpaceDN w:val="0"/>
              <w:spacing w:line="360" w:lineRule="exact"/>
              <w:rPr>
                <w:kern w:val="0"/>
              </w:rPr>
            </w:pPr>
          </w:p>
        </w:tc>
        <w:tc>
          <w:tcPr>
            <w:tcW w:w="1984" w:type="dxa"/>
            <w:shd w:val="clear" w:color="auto" w:fill="auto"/>
          </w:tcPr>
          <w:p>
            <w:pPr>
              <w:tabs>
                <w:tab w:val="center" w:pos="4201"/>
                <w:tab w:val="right" w:leader="dot" w:pos="9298"/>
              </w:tabs>
              <w:autoSpaceDE w:val="0"/>
              <w:autoSpaceDN w:val="0"/>
              <w:spacing w:line="360" w:lineRule="exact"/>
              <w:jc w:val="center"/>
              <w:rPr>
                <w:kern w:val="0"/>
              </w:rPr>
            </w:pPr>
            <w:r>
              <w:rPr>
                <w:rFonts w:hint="eastAsia"/>
              </w:rPr>
              <w:t>保质期</w:t>
            </w:r>
          </w:p>
        </w:tc>
        <w:tc>
          <w:tcPr>
            <w:tcW w:w="1533" w:type="dxa"/>
            <w:shd w:val="clear" w:color="auto" w:fill="auto"/>
          </w:tcPr>
          <w:p>
            <w:pPr>
              <w:tabs>
                <w:tab w:val="center" w:pos="4201"/>
                <w:tab w:val="right" w:leader="dot" w:pos="9298"/>
              </w:tabs>
              <w:autoSpaceDE w:val="0"/>
              <w:autoSpaceDN w:val="0"/>
              <w:spacing w:line="360" w:lineRule="exact"/>
              <w:jc w:val="center"/>
              <w:rPr>
                <w:kern w:val="0"/>
              </w:rPr>
            </w:pPr>
          </w:p>
        </w:tc>
      </w:tr>
      <w:tr>
        <w:tblPrEx>
          <w:tblBorders>
            <w:top w:val="single" w:color="000000" w:sz="8" w:space="0"/>
            <w:left w:val="single" w:color="000000" w:sz="8" w:space="0"/>
            <w:bottom w:val="single" w:color="auto"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2" w:hRule="atLeast"/>
        </w:trPr>
        <w:tc>
          <w:tcPr>
            <w:tcW w:w="1978" w:type="dxa"/>
            <w:shd w:val="clear" w:color="auto" w:fill="auto"/>
            <w:vAlign w:val="center"/>
          </w:tcPr>
          <w:p>
            <w:pPr>
              <w:tabs>
                <w:tab w:val="center" w:pos="4201"/>
                <w:tab w:val="right" w:leader="dot" w:pos="9298"/>
              </w:tabs>
              <w:autoSpaceDE w:val="0"/>
              <w:autoSpaceDN w:val="0"/>
              <w:spacing w:line="360" w:lineRule="exact"/>
              <w:jc w:val="left"/>
              <w:rPr>
                <w:kern w:val="0"/>
              </w:rPr>
            </w:pPr>
            <w:r>
              <w:rPr>
                <w:rFonts w:hint="eastAsia"/>
              </w:rPr>
              <w:t>趁鲜切制企业名称</w:t>
            </w:r>
          </w:p>
        </w:tc>
        <w:tc>
          <w:tcPr>
            <w:tcW w:w="2977" w:type="dxa"/>
            <w:shd w:val="clear" w:color="auto" w:fill="auto"/>
          </w:tcPr>
          <w:p>
            <w:pPr>
              <w:tabs>
                <w:tab w:val="center" w:pos="4201"/>
                <w:tab w:val="right" w:leader="dot" w:pos="9298"/>
              </w:tabs>
              <w:autoSpaceDE w:val="0"/>
              <w:autoSpaceDN w:val="0"/>
              <w:spacing w:line="360" w:lineRule="exact"/>
              <w:ind w:firstLine="420" w:firstLineChars="200"/>
              <w:rPr>
                <w:kern w:val="0"/>
              </w:rPr>
            </w:pPr>
          </w:p>
        </w:tc>
        <w:tc>
          <w:tcPr>
            <w:tcW w:w="1984" w:type="dxa"/>
            <w:shd w:val="clear" w:color="auto" w:fill="auto"/>
          </w:tcPr>
          <w:p>
            <w:pPr>
              <w:tabs>
                <w:tab w:val="center" w:pos="4201"/>
                <w:tab w:val="right" w:leader="dot" w:pos="9298"/>
              </w:tabs>
              <w:autoSpaceDE w:val="0"/>
              <w:autoSpaceDN w:val="0"/>
              <w:spacing w:line="360" w:lineRule="exact"/>
              <w:jc w:val="center"/>
              <w:rPr>
                <w:kern w:val="0"/>
              </w:rPr>
            </w:pPr>
            <w:r>
              <w:rPr>
                <w:rFonts w:hint="eastAsia"/>
              </w:rPr>
              <w:t>执行标准</w:t>
            </w:r>
          </w:p>
        </w:tc>
        <w:tc>
          <w:tcPr>
            <w:tcW w:w="1533" w:type="dxa"/>
            <w:shd w:val="clear" w:color="auto" w:fill="auto"/>
          </w:tcPr>
          <w:p>
            <w:pPr>
              <w:tabs>
                <w:tab w:val="center" w:pos="4201"/>
                <w:tab w:val="right" w:leader="dot" w:pos="9298"/>
              </w:tabs>
              <w:autoSpaceDE w:val="0"/>
              <w:autoSpaceDN w:val="0"/>
              <w:spacing w:line="360" w:lineRule="exact"/>
              <w:jc w:val="center"/>
              <w:rPr>
                <w:kern w:val="0"/>
              </w:rPr>
            </w:pPr>
          </w:p>
        </w:tc>
      </w:tr>
      <w:tr>
        <w:tblPrEx>
          <w:tblBorders>
            <w:top w:val="single" w:color="000000" w:sz="8" w:space="0"/>
            <w:left w:val="single" w:color="000000" w:sz="8" w:space="0"/>
            <w:bottom w:val="single" w:color="auto"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2" w:hRule="atLeast"/>
        </w:trPr>
        <w:tc>
          <w:tcPr>
            <w:tcW w:w="1978" w:type="dxa"/>
            <w:shd w:val="clear" w:color="auto" w:fill="auto"/>
            <w:vAlign w:val="center"/>
          </w:tcPr>
          <w:p>
            <w:pPr>
              <w:tabs>
                <w:tab w:val="center" w:pos="4201"/>
                <w:tab w:val="right" w:leader="dot" w:pos="9298"/>
              </w:tabs>
              <w:autoSpaceDE w:val="0"/>
              <w:autoSpaceDN w:val="0"/>
              <w:spacing w:line="360" w:lineRule="exact"/>
              <w:jc w:val="left"/>
              <w:rPr>
                <w:kern w:val="0"/>
              </w:rPr>
            </w:pPr>
            <w:r>
              <w:rPr>
                <w:rFonts w:hint="eastAsia"/>
              </w:rPr>
              <w:t>加工日期</w:t>
            </w:r>
          </w:p>
        </w:tc>
        <w:tc>
          <w:tcPr>
            <w:tcW w:w="6494" w:type="dxa"/>
            <w:gridSpan w:val="3"/>
            <w:shd w:val="clear" w:color="auto" w:fill="auto"/>
          </w:tcPr>
          <w:p>
            <w:pPr>
              <w:tabs>
                <w:tab w:val="center" w:pos="4201"/>
                <w:tab w:val="right" w:leader="dot" w:pos="9298"/>
              </w:tabs>
              <w:autoSpaceDE w:val="0"/>
              <w:autoSpaceDN w:val="0"/>
              <w:spacing w:line="360" w:lineRule="exact"/>
              <w:jc w:val="center"/>
              <w:rPr>
                <w:kern w:val="0"/>
              </w:rPr>
            </w:pPr>
          </w:p>
        </w:tc>
      </w:tr>
    </w:tbl>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default" w:ascii="Arial" w:hAnsi="Arial" w:cs="Arial" w:eastAsiaTheme="minorEastAsia"/>
          <w:i w:val="0"/>
          <w:iCs w:val="0"/>
          <w:caps w:val="0"/>
          <w:color w:val="333333"/>
          <w:spacing w:val="0"/>
          <w:kern w:val="0"/>
          <w:sz w:val="24"/>
          <w:szCs w:val="24"/>
          <w:shd w:val="clear" w:fill="FFFFFF"/>
          <w:lang w:val="en-US" w:eastAsia="zh-CN" w:bidi="ar"/>
        </w:rPr>
      </w:pPr>
    </w:p>
    <w:p>
      <w:pPr>
        <w:pStyle w:val="12"/>
        <w:keepNext w:val="0"/>
        <w:keepLines w:val="0"/>
        <w:pageBreakBefore w:val="0"/>
        <w:widowControl/>
        <w:numPr>
          <w:ilvl w:val="0"/>
          <w:numId w:val="2"/>
        </w:numPr>
        <w:kinsoku/>
        <w:wordWrap/>
        <w:overflowPunct/>
        <w:topLinePunct w:val="0"/>
        <w:autoSpaceDE w:val="0"/>
        <w:autoSpaceDN w:val="0"/>
        <w:bidi w:val="0"/>
        <w:adjustRightInd/>
        <w:snapToGrid/>
        <w:spacing w:line="360" w:lineRule="auto"/>
        <w:ind w:left="0" w:leftChars="0" w:firstLine="481" w:firstLineChars="20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贮藏</w:t>
      </w:r>
      <w:bookmarkEnd w:id="19"/>
      <w:bookmarkEnd w:id="20"/>
      <w:bookmarkEnd w:id="21"/>
      <w:bookmarkEnd w:id="22"/>
      <w:bookmarkEnd w:id="23"/>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贮藏应符合《中华人民共和国药典》2025年版的要求。</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Arial" w:hAnsi="Arial" w:cs="Arial"/>
          <w:i w:val="0"/>
          <w:iCs w:val="0"/>
          <w:caps w:val="0"/>
          <w:color w:val="333333"/>
          <w:spacing w:val="0"/>
          <w:sz w:val="24"/>
          <w:szCs w:val="24"/>
          <w:shd w:val="clear" w:fill="FFFFFF"/>
        </w:rPr>
      </w:pPr>
      <w:r>
        <w:rPr>
          <w:rFonts w:hint="eastAsia" w:ascii="Arial" w:hAnsi="Arial" w:cs="Arial" w:eastAsiaTheme="minorEastAsia"/>
          <w:i w:val="0"/>
          <w:iCs w:val="0"/>
          <w:caps w:val="0"/>
          <w:color w:val="333333"/>
          <w:spacing w:val="0"/>
          <w:kern w:val="0"/>
          <w:sz w:val="24"/>
          <w:szCs w:val="24"/>
          <w:shd w:val="clear" w:fill="FFFFFF"/>
          <w:lang w:val="en-US" w:eastAsia="zh-CN" w:bidi="ar"/>
        </w:rPr>
        <w:t>仓储条件与环境应符合</w:t>
      </w:r>
      <w:r>
        <w:rPr>
          <w:rFonts w:hint="eastAsia" w:ascii="Arial" w:hAnsi="Arial" w:cs="Arial"/>
          <w:i w:val="0"/>
          <w:iCs w:val="0"/>
          <w:caps w:val="0"/>
          <w:color w:val="333333"/>
          <w:spacing w:val="0"/>
          <w:sz w:val="24"/>
          <w:szCs w:val="24"/>
          <w:shd w:val="clear" w:fill="FFFFFF"/>
        </w:rPr>
        <w:t>《宁夏回族自治区药品监督管理局中药材产地加工</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i w:val="0"/>
          <w:iCs w:val="0"/>
          <w:caps w:val="0"/>
          <w:color w:val="333333"/>
          <w:spacing w:val="0"/>
          <w:sz w:val="24"/>
          <w:szCs w:val="24"/>
          <w:shd w:val="clear" w:fill="FFFFFF"/>
        </w:rPr>
        <w:t>（趁鲜切制）指导原则》</w:t>
      </w:r>
      <w:r>
        <w:rPr>
          <w:rFonts w:hint="eastAsia" w:ascii="Arial" w:hAnsi="Arial" w:cs="Arial"/>
          <w:i w:val="0"/>
          <w:iCs w:val="0"/>
          <w:caps w:val="0"/>
          <w:color w:val="333333"/>
          <w:spacing w:val="0"/>
          <w:sz w:val="24"/>
          <w:szCs w:val="24"/>
          <w:shd w:val="clear" w:fill="FFFFFF"/>
          <w:lang w:val="en-US" w:eastAsia="zh-CN"/>
        </w:rPr>
        <w:t>的</w:t>
      </w:r>
      <w:r>
        <w:rPr>
          <w:rFonts w:hint="eastAsia" w:ascii="Arial" w:hAnsi="Arial" w:cs="Arial" w:eastAsiaTheme="minorEastAsia"/>
          <w:i w:val="0"/>
          <w:iCs w:val="0"/>
          <w:caps w:val="0"/>
          <w:color w:val="333333"/>
          <w:spacing w:val="0"/>
          <w:kern w:val="0"/>
          <w:sz w:val="24"/>
          <w:szCs w:val="24"/>
          <w:shd w:val="clear" w:fill="FFFFFF"/>
          <w:lang w:val="en-US" w:eastAsia="zh-CN" w:bidi="ar"/>
        </w:rPr>
        <w:t>要求。</w:t>
      </w:r>
    </w:p>
    <w:p>
      <w:pPr>
        <w:keepNext w:val="0"/>
        <w:keepLines w:val="0"/>
        <w:pageBreakBefore w:val="0"/>
        <w:numPr>
          <w:ilvl w:val="0"/>
          <w:numId w:val="0"/>
        </w:numPr>
        <w:kinsoku/>
        <w:wordWrap/>
        <w:overflowPunct/>
        <w:topLinePunct w:val="0"/>
        <w:bidi w:val="0"/>
        <w:adjustRightInd/>
        <w:snapToGrid/>
        <w:spacing w:line="360" w:lineRule="auto"/>
        <w:ind w:firstLine="481" w:firstLineChars="200"/>
        <w:textAlignment w:val="auto"/>
        <w:rPr>
          <w:rFonts w:hint="eastAsia" w:ascii="Arial" w:hAnsi="Arial" w:cs="Arial" w:eastAsiaTheme="minorEastAsia"/>
          <w:b/>
          <w:bCs/>
          <w:i w:val="0"/>
          <w:iCs w:val="0"/>
          <w:caps w:val="0"/>
          <w:color w:val="333333"/>
          <w:spacing w:val="0"/>
          <w:kern w:val="0"/>
          <w:sz w:val="24"/>
          <w:szCs w:val="24"/>
          <w:shd w:val="clear" w:fill="FFFFFF"/>
          <w:lang w:val="en-US" w:eastAsia="zh-CN" w:bidi="ar"/>
        </w:rPr>
      </w:pPr>
      <w:r>
        <w:rPr>
          <w:rFonts w:hint="eastAsia" w:ascii="Arial" w:hAnsi="Arial" w:cs="Arial"/>
          <w:b/>
          <w:bCs/>
          <w:i w:val="0"/>
          <w:iCs w:val="0"/>
          <w:caps w:val="0"/>
          <w:color w:val="333333"/>
          <w:spacing w:val="0"/>
          <w:kern w:val="0"/>
          <w:sz w:val="24"/>
          <w:szCs w:val="24"/>
          <w:shd w:val="clear" w:fill="FFFFFF"/>
          <w:lang w:val="en-US" w:eastAsia="zh-CN" w:bidi="ar"/>
        </w:rPr>
        <w:t>五、</w:t>
      </w:r>
      <w:r>
        <w:rPr>
          <w:rFonts w:hint="eastAsia" w:ascii="Arial" w:hAnsi="Arial" w:cs="Arial" w:eastAsiaTheme="minorEastAsia"/>
          <w:b/>
          <w:bCs/>
          <w:i w:val="0"/>
          <w:iCs w:val="0"/>
          <w:caps w:val="0"/>
          <w:color w:val="333333"/>
          <w:spacing w:val="0"/>
          <w:kern w:val="0"/>
          <w:sz w:val="24"/>
          <w:szCs w:val="24"/>
          <w:shd w:val="clear" w:fill="FFFFFF"/>
          <w:lang w:val="en-US" w:eastAsia="zh-CN" w:bidi="ar"/>
        </w:rPr>
        <w:t>产地加工工艺流程与技术要求：</w:t>
      </w:r>
    </w:p>
    <w:p>
      <w:pPr>
        <w:numPr>
          <w:ilvl w:val="0"/>
          <w:numId w:val="0"/>
        </w:numPr>
        <w:spacing w:line="540" w:lineRule="exact"/>
        <w:ind w:leftChars="0" w:firstLine="480" w:firstLineChars="200"/>
        <w:rPr>
          <w:rFonts w:hint="eastAsia" w:ascii="Arial" w:hAnsi="Arial" w:cs="Arial" w:eastAsiaTheme="minorEastAsia"/>
          <w:b w:val="0"/>
          <w:bCs w:val="0"/>
          <w:i w:val="0"/>
          <w:iCs w:val="0"/>
          <w:caps w:val="0"/>
          <w:color w:val="333333"/>
          <w:spacing w:val="0"/>
          <w:kern w:val="0"/>
          <w:sz w:val="24"/>
          <w:szCs w:val="24"/>
          <w:shd w:val="clear" w:fill="FFFFFF"/>
          <w:lang w:val="en-US" w:eastAsia="zh-CN" w:bidi="ar"/>
        </w:rPr>
      </w:pPr>
      <w:r>
        <w:rPr>
          <w:rFonts w:hint="eastAsia" w:ascii="Arial" w:hAnsi="Arial" w:cs="Arial"/>
          <w:b w:val="0"/>
          <w:bCs w:val="0"/>
          <w:i w:val="0"/>
          <w:iCs w:val="0"/>
          <w:caps w:val="0"/>
          <w:color w:val="333333"/>
          <w:spacing w:val="0"/>
          <w:kern w:val="0"/>
          <w:sz w:val="24"/>
          <w:szCs w:val="24"/>
          <w:shd w:val="clear" w:fill="FFFFFF"/>
          <w:lang w:val="en-US" w:eastAsia="zh-CN" w:bidi="ar"/>
        </w:rPr>
        <w:t>鲜切</w:t>
      </w:r>
      <w:r>
        <w:rPr>
          <w:rFonts w:hint="eastAsia" w:ascii="Arial" w:hAnsi="Arial" w:cs="Arial" w:eastAsiaTheme="minorEastAsia"/>
          <w:b w:val="0"/>
          <w:bCs w:val="0"/>
          <w:i w:val="0"/>
          <w:iCs w:val="0"/>
          <w:caps w:val="0"/>
          <w:color w:val="333333"/>
          <w:spacing w:val="0"/>
          <w:kern w:val="0"/>
          <w:sz w:val="24"/>
          <w:szCs w:val="24"/>
          <w:shd w:val="clear" w:fill="FFFFFF"/>
          <w:lang w:val="en-US" w:eastAsia="zh-CN" w:bidi="ar"/>
        </w:rPr>
        <w:t>药材的工艺</w:t>
      </w:r>
      <w:r>
        <w:rPr>
          <w:rFonts w:hint="eastAsia" w:ascii="Arial" w:hAnsi="Arial" w:cs="Arial"/>
          <w:b w:val="0"/>
          <w:bCs w:val="0"/>
          <w:i w:val="0"/>
          <w:iCs w:val="0"/>
          <w:caps w:val="0"/>
          <w:color w:val="333333"/>
          <w:spacing w:val="0"/>
          <w:kern w:val="0"/>
          <w:sz w:val="24"/>
          <w:szCs w:val="24"/>
          <w:shd w:val="clear" w:fill="FFFFFF"/>
          <w:lang w:val="en-US" w:eastAsia="zh-CN" w:bidi="ar"/>
        </w:rPr>
        <w:t>流程及</w:t>
      </w:r>
      <w:r>
        <w:rPr>
          <w:rFonts w:hint="eastAsia" w:ascii="Arial" w:hAnsi="Arial" w:cs="Arial" w:eastAsiaTheme="minorEastAsia"/>
          <w:b w:val="0"/>
          <w:bCs w:val="0"/>
          <w:i w:val="0"/>
          <w:iCs w:val="0"/>
          <w:caps w:val="0"/>
          <w:color w:val="333333"/>
          <w:spacing w:val="0"/>
          <w:kern w:val="0"/>
          <w:sz w:val="24"/>
          <w:szCs w:val="24"/>
          <w:shd w:val="clear" w:fill="FFFFFF"/>
          <w:lang w:val="en-US" w:eastAsia="zh-CN" w:bidi="ar"/>
        </w:rPr>
        <w:t xml:space="preserve">技术要求主要包括但不限于以下环节：  </w:t>
      </w:r>
    </w:p>
    <w:p>
      <w:pPr>
        <w:numPr>
          <w:ilvl w:val="0"/>
          <w:numId w:val="3"/>
        </w:numPr>
        <w:spacing w:line="540" w:lineRule="exact"/>
        <w:ind w:leftChars="200"/>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净制要求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32"/>
          <w:szCs w:val="32"/>
        </w:rPr>
      </w:pPr>
      <w:r>
        <w:rPr>
          <w:rFonts w:hint="eastAsia" w:ascii="Arial" w:hAnsi="Arial" w:cs="Arial" w:eastAsiaTheme="minorEastAsia"/>
          <w:i w:val="0"/>
          <w:iCs w:val="0"/>
          <w:caps w:val="0"/>
          <w:color w:val="333333"/>
          <w:spacing w:val="0"/>
          <w:kern w:val="0"/>
          <w:sz w:val="24"/>
          <w:szCs w:val="24"/>
          <w:shd w:val="clear" w:fill="FFFFFF"/>
          <w:lang w:val="en-US" w:eastAsia="zh-CN" w:bidi="ar"/>
        </w:rPr>
        <w:t>净制的主要目的是去除鲜药材中含有的泥沙等杂质，分离并去除非药用部位，以达到符合相关标准对该药材净度要求。净制应当根据鲜药材具体情况，分别选用清洗、挑选、筛选、风选、水选、剪、切、刮、削及剔除等方法，制定适宜的净制技术，鼓励运用科学、现代、稳定的净制设备代替人工进行。</w:t>
      </w:r>
      <w:r>
        <w:rPr>
          <w:rFonts w:hint="eastAsia"/>
          <w:sz w:val="32"/>
          <w:szCs w:val="32"/>
        </w:rPr>
        <w:t xml:space="preserve">  </w:t>
      </w:r>
    </w:p>
    <w:p>
      <w:pPr>
        <w:numPr>
          <w:ilvl w:val="0"/>
          <w:numId w:val="3"/>
        </w:numPr>
        <w:spacing w:line="540" w:lineRule="exact"/>
        <w:ind w:left="420" w:leftChars="200" w:firstLine="0" w:firstLineChars="0"/>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b/>
          <w:bCs/>
          <w:i w:val="0"/>
          <w:iCs w:val="0"/>
          <w:caps w:val="0"/>
          <w:color w:val="auto"/>
          <w:spacing w:val="0"/>
          <w:kern w:val="0"/>
          <w:sz w:val="24"/>
          <w:szCs w:val="24"/>
          <w:shd w:val="clear" w:fill="FFFFFF"/>
          <w:lang w:val="en-US" w:eastAsia="zh-CN" w:bidi="ar"/>
        </w:rPr>
        <w:t>切制</w:t>
      </w:r>
      <w:r>
        <w:rPr>
          <w:rFonts w:hint="eastAsia" w:ascii="Arial" w:hAnsi="Arial" w:cs="Arial" w:eastAsiaTheme="minorEastAsia"/>
          <w:b/>
          <w:bCs/>
          <w:i w:val="0"/>
          <w:iCs w:val="0"/>
          <w:caps w:val="0"/>
          <w:color w:val="auto"/>
          <w:spacing w:val="0"/>
          <w:kern w:val="0"/>
          <w:sz w:val="24"/>
          <w:szCs w:val="24"/>
          <w:shd w:val="clear" w:fill="FFFFFF"/>
          <w:lang w:val="en-US" w:eastAsia="zh-CN" w:bidi="ar"/>
        </w:rPr>
        <w:t>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Arial" w:hAnsi="Arial" w:cs="Arial"/>
          <w:i w:val="0"/>
          <w:iCs w:val="0"/>
          <w:caps w:val="0"/>
          <w:color w:val="auto"/>
          <w:spacing w:val="0"/>
          <w:kern w:val="0"/>
          <w:sz w:val="24"/>
          <w:szCs w:val="24"/>
          <w:shd w:val="clear" w:fill="FFFFFF"/>
          <w:lang w:val="en-US" w:eastAsia="zh-CN" w:bidi="ar"/>
        </w:rPr>
      </w:pPr>
      <w:r>
        <w:rPr>
          <w:rFonts w:hint="eastAsia" w:ascii="Arial" w:hAnsi="Arial" w:cs="Arial"/>
          <w:i w:val="0"/>
          <w:iCs w:val="0"/>
          <w:caps w:val="0"/>
          <w:color w:val="auto"/>
          <w:spacing w:val="0"/>
          <w:kern w:val="0"/>
          <w:sz w:val="24"/>
          <w:szCs w:val="24"/>
          <w:shd w:val="clear" w:fill="FFFFFF"/>
          <w:lang w:val="en-US" w:eastAsia="zh-CN" w:bidi="ar"/>
        </w:rPr>
        <w:t>切制的主要目的是根据相关标准对于饮片片型的要求，将净制合格的药材趁鲜、</w:t>
      </w:r>
      <w:r>
        <w:rPr>
          <w:rFonts w:hint="eastAsia" w:ascii="Arial" w:hAnsi="Arial" w:cs="Arial"/>
          <w:i w:val="0"/>
          <w:iCs w:val="0"/>
          <w:caps w:val="0"/>
          <w:color w:val="auto"/>
          <w:spacing w:val="0"/>
          <w:kern w:val="0"/>
          <w:sz w:val="24"/>
          <w:szCs w:val="24"/>
          <w:shd w:val="clear" w:fill="FFFFFF"/>
          <w:lang w:val="en-US" w:eastAsia="zh-CN" w:bidi="ar"/>
        </w:rPr>
        <w:t>晾晒或蒸、烫后</w:t>
      </w:r>
      <w:r>
        <w:rPr>
          <w:rFonts w:hint="eastAsia"/>
          <w:color w:val="auto"/>
          <w:sz w:val="32"/>
          <w:szCs w:val="32"/>
        </w:rPr>
        <w:t>，</w:t>
      </w:r>
      <w:r>
        <w:rPr>
          <w:rFonts w:hint="eastAsia" w:ascii="Arial" w:hAnsi="Arial" w:cs="Arial"/>
          <w:i w:val="0"/>
          <w:iCs w:val="0"/>
          <w:caps w:val="0"/>
          <w:color w:val="auto"/>
          <w:spacing w:val="0"/>
          <w:kern w:val="0"/>
          <w:sz w:val="24"/>
          <w:szCs w:val="24"/>
          <w:shd w:val="clear" w:fill="FFFFFF"/>
          <w:lang w:val="en-US" w:eastAsia="zh-CN" w:bidi="ar"/>
        </w:rPr>
        <w:t>干燥到一定程度后切制成为片、块、段、瓣、丝等，应当充分考虑并与鲜药材其道地或传统的产地加工方法进行对比研究，对其切制加工投料的原料状态、加工技术及标准作出明确要求；根据鲜药材切制并干燥后的片型、长度、厚度等变化，制定趁鲜切制的片、块、段、瓣鲜品规格参数。切制一般选择以机械为主，辅以手工切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干燥要求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32"/>
          <w:szCs w:val="32"/>
        </w:rPr>
      </w:pPr>
      <w:r>
        <w:rPr>
          <w:rFonts w:hint="eastAsia" w:ascii="Arial" w:hAnsi="Arial" w:cs="Arial"/>
          <w:i w:val="0"/>
          <w:iCs w:val="0"/>
          <w:caps w:val="0"/>
          <w:color w:val="333333"/>
          <w:spacing w:val="0"/>
          <w:kern w:val="0"/>
          <w:sz w:val="24"/>
          <w:szCs w:val="24"/>
          <w:shd w:val="clear" w:fill="FFFFFF"/>
          <w:lang w:val="en-US" w:eastAsia="zh-CN" w:bidi="ar"/>
        </w:rPr>
        <w:t>干燥的主要目的是对净制或切制合格的药材进行干燥处理，以达到符合标准对水分含量的要求。干燥处理应当以不影响鲜切药材质量为原则，根据鲜药材特点，研究确定适宜的干燥设备，并制定干燥温度、干燥时间等工艺参数。</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0" w:leftChars="200" w:firstLine="0" w:firstLineChars="0"/>
        <w:textAlignment w:val="auto"/>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筛选与整理要求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Arial" w:hAnsi="Arial" w:cs="Arial"/>
          <w:i w:val="0"/>
          <w:iCs w:val="0"/>
          <w:caps w:val="0"/>
          <w:color w:val="auto"/>
          <w:spacing w:val="0"/>
          <w:kern w:val="0"/>
          <w:sz w:val="24"/>
          <w:szCs w:val="24"/>
          <w:shd w:val="clear" w:fill="FFFFFF"/>
          <w:lang w:val="en-US" w:eastAsia="zh-CN" w:bidi="ar"/>
        </w:rPr>
      </w:pPr>
      <w:r>
        <w:rPr>
          <w:rFonts w:hint="eastAsia" w:ascii="Arial" w:hAnsi="Arial" w:cs="Arial"/>
          <w:i w:val="0"/>
          <w:iCs w:val="0"/>
          <w:caps w:val="0"/>
          <w:color w:val="auto"/>
          <w:spacing w:val="0"/>
          <w:kern w:val="0"/>
          <w:sz w:val="24"/>
          <w:szCs w:val="24"/>
          <w:shd w:val="clear" w:fill="FFFFFF"/>
          <w:lang w:val="en-US" w:eastAsia="zh-CN" w:bidi="ar"/>
        </w:rPr>
        <w:t>筛选与整理的主要目的是去碎屑、去掉异形片等。应根据鲜药材具体情况，选用挑选、筛选、风选、色选等方法进行筛选与整理。</w:t>
      </w:r>
    </w:p>
    <w:p>
      <w:pPr>
        <w:numPr>
          <w:ilvl w:val="0"/>
          <w:numId w:val="3"/>
        </w:numPr>
        <w:spacing w:line="540" w:lineRule="exact"/>
        <w:ind w:left="420" w:leftChars="200" w:firstLine="0" w:firstLineChars="0"/>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包装要求</w:t>
      </w:r>
    </w:p>
    <w:p>
      <w:pPr>
        <w:numPr>
          <w:ilvl w:val="0"/>
          <w:numId w:val="0"/>
        </w:numPr>
        <w:spacing w:line="540" w:lineRule="exact"/>
        <w:ind w:firstLine="480" w:firstLineChars="200"/>
        <w:rPr>
          <w:rFonts w:hint="eastAsia" w:ascii="Arial" w:hAnsi="Arial" w:cs="Arial" w:eastAsiaTheme="minorEastAsia"/>
          <w:i w:val="0"/>
          <w:iCs w:val="0"/>
          <w:caps w:val="0"/>
          <w:color w:val="333333"/>
          <w:spacing w:val="0"/>
          <w:kern w:val="0"/>
          <w:sz w:val="24"/>
          <w:szCs w:val="24"/>
          <w:shd w:val="clear" w:fill="FFFFFF"/>
          <w:lang w:val="en-US" w:eastAsia="zh-CN" w:bidi="ar"/>
        </w:rPr>
      </w:pPr>
      <w:bookmarkStart w:id="24" w:name="_GoBack"/>
      <w:r>
        <w:rPr>
          <w:rFonts w:hint="eastAsia" w:ascii="Arial" w:hAnsi="Arial" w:cs="Arial"/>
          <w:i w:val="0"/>
          <w:iCs w:val="0"/>
          <w:caps w:val="0"/>
          <w:color w:val="auto"/>
          <w:spacing w:val="0"/>
          <w:kern w:val="0"/>
          <w:sz w:val="24"/>
          <w:szCs w:val="24"/>
          <w:shd w:val="clear" w:fill="FFFFFF"/>
          <w:lang w:val="en-US" w:eastAsia="zh-CN" w:bidi="ar"/>
        </w:rPr>
        <w:t>干燥、筛选完成并经检验合格的鲜切药材，及时进行包装，</w:t>
      </w:r>
      <w:bookmarkEnd w:id="24"/>
      <w:r>
        <w:rPr>
          <w:rFonts w:hint="eastAsia" w:ascii="Arial" w:hAnsi="Arial" w:cs="Arial"/>
          <w:i w:val="0"/>
          <w:iCs w:val="0"/>
          <w:caps w:val="0"/>
          <w:color w:val="333333"/>
          <w:spacing w:val="0"/>
          <w:kern w:val="0"/>
          <w:sz w:val="24"/>
          <w:szCs w:val="24"/>
          <w:shd w:val="clear" w:fill="FFFFFF"/>
          <w:lang w:val="en-US" w:eastAsia="zh-CN" w:bidi="ar"/>
        </w:rPr>
        <w:t>应当明确包装场所及选用的包装材料的安全卫生等级，最小包装规格（如小包装、大包装），包装方式（如手工包装、半自动包装和全自动包装）。同时明确外包装箱标识内容、包件重量等。</w:t>
      </w:r>
      <w:r>
        <w:rPr>
          <w:rFonts w:hint="eastAsia"/>
          <w:sz w:val="32"/>
          <w:szCs w:val="32"/>
        </w:rPr>
        <w:t xml:space="preserve"> </w:t>
      </w:r>
    </w:p>
    <w:p>
      <w:pPr>
        <w:numPr>
          <w:ilvl w:val="0"/>
          <w:numId w:val="3"/>
        </w:numPr>
        <w:spacing w:line="540" w:lineRule="exact"/>
        <w:ind w:left="420" w:leftChars="200" w:firstLine="0" w:firstLineChars="0"/>
        <w:rPr>
          <w:rFonts w:hint="eastAsia" w:ascii="Arial" w:hAnsi="Arial" w:cs="Arial" w:eastAsiaTheme="minorEastAsia"/>
          <w:b/>
          <w:bCs/>
          <w:i w:val="0"/>
          <w:iCs w:val="0"/>
          <w:caps w:val="0"/>
          <w:color w:val="auto"/>
          <w:spacing w:val="0"/>
          <w:kern w:val="0"/>
          <w:sz w:val="24"/>
          <w:szCs w:val="24"/>
          <w:shd w:val="clear" w:fill="FFFFFF"/>
          <w:lang w:val="en-US" w:eastAsia="zh-CN" w:bidi="ar"/>
        </w:rPr>
      </w:pPr>
      <w:r>
        <w:rPr>
          <w:rFonts w:hint="eastAsia" w:ascii="Arial" w:hAnsi="Arial" w:cs="Arial" w:eastAsiaTheme="minorEastAsia"/>
          <w:b/>
          <w:bCs/>
          <w:i w:val="0"/>
          <w:iCs w:val="0"/>
          <w:caps w:val="0"/>
          <w:color w:val="auto"/>
          <w:spacing w:val="0"/>
          <w:kern w:val="0"/>
          <w:sz w:val="24"/>
          <w:szCs w:val="24"/>
          <w:shd w:val="clear" w:fill="FFFFFF"/>
          <w:lang w:val="en-US" w:eastAsia="zh-CN" w:bidi="ar"/>
        </w:rPr>
        <w:t>鲜切药材的工艺流程图：</w:t>
      </w:r>
    </w:p>
    <w:p>
      <w:pPr>
        <w:keepNext w:val="0"/>
        <w:keepLines w:val="0"/>
        <w:pageBreakBefore w:val="0"/>
        <w:numPr>
          <w:ilvl w:val="0"/>
          <w:numId w:val="0"/>
        </w:numPr>
        <w:kinsoku/>
        <w:wordWrap/>
        <w:overflowPunct/>
        <w:topLinePunct w:val="0"/>
        <w:bidi w:val="0"/>
        <w:adjustRightInd/>
        <w:snapToGrid/>
        <w:spacing w:line="360" w:lineRule="auto"/>
        <w:ind w:firstLine="480" w:firstLineChars="200"/>
        <w:textAlignment w:val="auto"/>
      </w:pPr>
      <w:r>
        <w:rPr>
          <w:rFonts w:hint="eastAsia" w:ascii="Arial" w:hAnsi="Arial" w:cs="Arial" w:eastAsiaTheme="minorEastAsia"/>
          <w:i w:val="0"/>
          <w:iCs w:val="0"/>
          <w:caps w:val="0"/>
          <w:color w:val="333333"/>
          <w:spacing w:val="0"/>
          <w:kern w:val="0"/>
          <w:sz w:val="24"/>
          <w:szCs w:val="24"/>
          <w:shd w:val="clear" w:fill="FFFFFF"/>
          <w:lang w:val="en-US" w:eastAsia="zh-CN" w:bidi="ar"/>
        </w:rPr>
        <w:t xml:space="preserve"> </w:t>
      </w:r>
      <w:r>
        <w:rPr>
          <w:rFonts w:hint="eastAsia" w:ascii="Arial" w:hAnsi="Arial" w:cs="Arial"/>
          <w:i w:val="0"/>
          <w:iCs w:val="0"/>
          <w:caps w:val="0"/>
          <w:color w:val="333333"/>
          <w:spacing w:val="0"/>
          <w:kern w:val="0"/>
          <w:sz w:val="24"/>
          <w:szCs w:val="24"/>
          <w:shd w:val="clear" w:fill="FFFFFF"/>
          <w:lang w:val="en-US" w:eastAsia="zh-CN" w:bidi="ar"/>
        </w:rPr>
        <w:t>工艺流程图包括切制流程如净选、揉搓、除去外皮、蒸制、晾晒、清洗、切制、干燥、筛选、包装、入库等，根据该品种具体鲜切工艺绘制，例如下图：</w:t>
      </w:r>
      <w:r>
        <w:drawing>
          <wp:inline distT="0" distB="0" distL="0" distR="0">
            <wp:extent cx="5939790" cy="394970"/>
            <wp:effectExtent l="0" t="0" r="3810" b="508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noChangeArrowheads="true"/>
                    </pic:cNvPicPr>
                  </pic:nvPicPr>
                  <pic:blipFill>
                    <a:blip r:embed="rId7" cstate="print"/>
                    <a:srcRect/>
                    <a:stretch>
                      <a:fillRect/>
                    </a:stretch>
                  </pic:blipFill>
                  <pic:spPr>
                    <a:xfrm>
                      <a:off x="0" y="0"/>
                      <a:ext cx="5939790" cy="395429"/>
                    </a:xfrm>
                    <a:prstGeom prst="rect">
                      <a:avLst/>
                    </a:prstGeom>
                    <a:noFill/>
                    <a:ln w="9525">
                      <a:noFill/>
                      <a:miter lim="800000"/>
                      <a:headEnd/>
                      <a:tailEnd/>
                    </a:ln>
                  </pic:spPr>
                </pic:pic>
              </a:graphicData>
            </a:graphic>
          </wp:inline>
        </w:drawing>
      </w:r>
    </w:p>
    <w:p>
      <w:pPr>
        <w:pStyle w:val="12"/>
        <w:ind w:firstLine="0" w:firstLineChars="0"/>
        <w:jc w:val="center"/>
      </w:pPr>
      <w:r>
        <w:t xml:space="preserve">  </w:t>
      </w:r>
      <w:r>
        <w:rPr>
          <w:rFonts w:hint="eastAsia"/>
          <w:lang w:val="en-US" w:eastAsia="zh-CN"/>
        </w:rPr>
        <w:t>鲜切药材</w:t>
      </w:r>
      <w:r>
        <w:rPr>
          <w:rFonts w:hint="eastAsia"/>
        </w:rPr>
        <w:t>切制流程图</w:t>
      </w:r>
    </w:p>
    <w:p>
      <w:pPr>
        <w:keepNext w:val="0"/>
        <w:keepLines w:val="0"/>
        <w:pageBreakBefore w:val="0"/>
        <w:numPr>
          <w:ilvl w:val="0"/>
          <w:numId w:val="0"/>
        </w:numPr>
        <w:kinsoku/>
        <w:wordWrap/>
        <w:overflowPunct/>
        <w:topLinePunct w:val="0"/>
        <w:bidi w:val="0"/>
        <w:adjustRightInd/>
        <w:snapToGrid/>
        <w:spacing w:line="360" w:lineRule="auto"/>
        <w:ind w:firstLine="481" w:firstLineChars="200"/>
        <w:textAlignment w:val="auto"/>
        <w:rPr>
          <w:rFonts w:hint="eastAsia" w:ascii="Arial" w:hAnsi="Arial" w:cs="Arial"/>
          <w:b/>
          <w:bCs/>
          <w:i w:val="0"/>
          <w:iCs w:val="0"/>
          <w:caps w:val="0"/>
          <w:color w:val="333333"/>
          <w:spacing w:val="0"/>
          <w:kern w:val="0"/>
          <w:sz w:val="24"/>
          <w:szCs w:val="24"/>
          <w:shd w:val="clear" w:fill="FFFFFF"/>
          <w:lang w:val="en-US" w:eastAsia="zh-CN" w:bidi="ar"/>
        </w:rPr>
      </w:pPr>
      <w:r>
        <w:rPr>
          <w:rFonts w:hint="eastAsia" w:ascii="Arial" w:hAnsi="Arial" w:cs="Arial"/>
          <w:b/>
          <w:bCs/>
          <w:i w:val="0"/>
          <w:iCs w:val="0"/>
          <w:caps w:val="0"/>
          <w:color w:val="333333"/>
          <w:spacing w:val="0"/>
          <w:kern w:val="0"/>
          <w:sz w:val="24"/>
          <w:szCs w:val="24"/>
          <w:shd w:val="clear" w:fill="FFFFFF"/>
          <w:lang w:val="en-US" w:eastAsia="zh-CN" w:bidi="ar"/>
        </w:rPr>
        <w:t>六、基本要求：</w:t>
      </w:r>
    </w:p>
    <w:p>
      <w:pPr>
        <w:pStyle w:val="12"/>
        <w:keepNext w:val="0"/>
        <w:keepLines w:val="0"/>
        <w:pageBreakBefore w:val="0"/>
        <w:widowControl/>
        <w:kinsoku/>
        <w:wordWrap/>
        <w:overflowPunct/>
        <w:topLinePunct w:val="0"/>
        <w:autoSpaceDE w:val="0"/>
        <w:autoSpaceDN w:val="0"/>
        <w:bidi w:val="0"/>
        <w:adjustRightInd/>
        <w:snapToGrid/>
        <w:spacing w:line="360" w:lineRule="auto"/>
        <w:textAlignment w:val="auto"/>
        <w:rPr>
          <w:rFonts w:hint="eastAsia" w:ascii="Arial" w:hAnsi="Arial" w:cs="Arial" w:eastAsiaTheme="minorEastAsia"/>
          <w:i w:val="0"/>
          <w:iCs w:val="0"/>
          <w:caps w:val="0"/>
          <w:color w:val="333333"/>
          <w:spacing w:val="0"/>
          <w:kern w:val="0"/>
          <w:sz w:val="24"/>
          <w:szCs w:val="24"/>
          <w:shd w:val="clear" w:fill="FFFFFF"/>
          <w:lang w:val="en-US" w:eastAsia="zh-CN" w:bidi="ar"/>
        </w:rPr>
      </w:pPr>
      <w:r>
        <w:rPr>
          <w:rFonts w:hint="eastAsia" w:ascii="Arial" w:hAnsi="Arial" w:cs="Arial" w:eastAsiaTheme="minorEastAsia"/>
          <w:i w:val="0"/>
          <w:iCs w:val="0"/>
          <w:caps w:val="0"/>
          <w:color w:val="333333"/>
          <w:spacing w:val="0"/>
          <w:kern w:val="0"/>
          <w:sz w:val="24"/>
          <w:szCs w:val="24"/>
          <w:shd w:val="clear" w:fill="FFFFFF"/>
          <w:lang w:val="en-US" w:eastAsia="zh-CN" w:bidi="ar"/>
        </w:rPr>
        <w:t>趁鲜切制场地、设备、设施、卫生、人员和管理体系应符合</w:t>
      </w:r>
      <w:r>
        <w:rPr>
          <w:rFonts w:hint="eastAsia" w:ascii="Arial" w:hAnsi="Arial" w:cs="Arial"/>
          <w:i w:val="0"/>
          <w:iCs w:val="0"/>
          <w:caps w:val="0"/>
          <w:color w:val="333333"/>
          <w:spacing w:val="0"/>
          <w:sz w:val="24"/>
          <w:szCs w:val="24"/>
          <w:shd w:val="clear" w:fill="FFFFFF"/>
        </w:rPr>
        <w:t>《宁夏回族自治区药品监督管理局中药材产地加工（趁鲜切制）指导原则》</w:t>
      </w:r>
      <w:r>
        <w:rPr>
          <w:rFonts w:hint="eastAsia" w:ascii="Arial" w:hAnsi="Arial" w:cs="Arial" w:eastAsiaTheme="minorEastAsia"/>
          <w:i w:val="0"/>
          <w:iCs w:val="0"/>
          <w:caps w:val="0"/>
          <w:color w:val="333333"/>
          <w:spacing w:val="0"/>
          <w:kern w:val="0"/>
          <w:sz w:val="24"/>
          <w:szCs w:val="24"/>
          <w:shd w:val="clear" w:fill="FFFFFF"/>
          <w:lang w:val="en-US" w:eastAsia="zh-CN" w:bidi="ar"/>
        </w:rPr>
        <w:t>的规定。</w:t>
      </w:r>
    </w:p>
    <w:p>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rightChars="0" w:firstLine="481" w:firstLineChars="200"/>
        <w:jc w:val="both"/>
        <w:rPr>
          <w:rFonts w:hint="default" w:ascii="Arial" w:hAnsi="Arial" w:cs="Arial"/>
          <w:b/>
          <w:bCs/>
          <w:i w:val="0"/>
          <w:iCs w:val="0"/>
          <w:caps w:val="0"/>
          <w:color w:val="333333"/>
          <w:spacing w:val="0"/>
          <w:sz w:val="24"/>
          <w:szCs w:val="24"/>
        </w:rPr>
      </w:pPr>
      <w:r>
        <w:rPr>
          <w:rFonts w:hint="eastAsia" w:ascii="Arial" w:hAnsi="Arial" w:cs="Arial"/>
          <w:b/>
          <w:bCs/>
          <w:i w:val="0"/>
          <w:iCs w:val="0"/>
          <w:caps w:val="0"/>
          <w:color w:val="333333"/>
          <w:spacing w:val="0"/>
          <w:sz w:val="24"/>
          <w:szCs w:val="24"/>
          <w:shd w:val="clear" w:fill="FFFFFF"/>
          <w:lang w:val="en-US" w:eastAsia="zh-CN"/>
        </w:rPr>
        <w:t>1.</w:t>
      </w:r>
      <w:r>
        <w:rPr>
          <w:rFonts w:hint="default" w:ascii="Arial" w:hAnsi="Arial" w:cs="Arial"/>
          <w:b/>
          <w:bCs/>
          <w:i w:val="0"/>
          <w:iCs w:val="0"/>
          <w:caps w:val="0"/>
          <w:color w:val="333333"/>
          <w:spacing w:val="0"/>
          <w:sz w:val="24"/>
          <w:szCs w:val="24"/>
          <w:shd w:val="clear" w:fill="FFFFFF"/>
        </w:rPr>
        <w:t>人员要求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1.1 </w:t>
      </w:r>
      <w:r>
        <w:rPr>
          <w:rFonts w:hint="default" w:ascii="Arial" w:hAnsi="Arial" w:cs="Arial"/>
          <w:i w:val="0"/>
          <w:iCs w:val="0"/>
          <w:caps w:val="0"/>
          <w:color w:val="333333"/>
          <w:spacing w:val="0"/>
          <w:sz w:val="24"/>
          <w:szCs w:val="24"/>
          <w:shd w:val="clear" w:fill="FFFFFF"/>
        </w:rPr>
        <w:t>鲜切药材加工企业应当配备相应的管理和技术人员，管理和技术人员应当具有中药材加工经验、具备其加工的中药材品种真伪鉴别能力。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1.2 </w:t>
      </w:r>
      <w:r>
        <w:rPr>
          <w:rFonts w:hint="default" w:ascii="Arial" w:hAnsi="Arial" w:cs="Arial"/>
          <w:i w:val="0"/>
          <w:iCs w:val="0"/>
          <w:caps w:val="0"/>
          <w:color w:val="333333"/>
          <w:spacing w:val="0"/>
          <w:sz w:val="24"/>
          <w:szCs w:val="24"/>
          <w:shd w:val="clear" w:fill="FFFFFF"/>
        </w:rPr>
        <w:t>应当由专人负责培训管理工作，培训的内容应当包括中药专业知识、岗位技能和相关法规知识等。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1.3 </w:t>
      </w:r>
      <w:r>
        <w:rPr>
          <w:rFonts w:hint="default" w:ascii="Arial" w:hAnsi="Arial" w:cs="Arial"/>
          <w:i w:val="0"/>
          <w:iCs w:val="0"/>
          <w:caps w:val="0"/>
          <w:color w:val="333333"/>
          <w:spacing w:val="0"/>
          <w:sz w:val="24"/>
          <w:szCs w:val="24"/>
          <w:shd w:val="clear" w:fill="FFFFFF"/>
        </w:rPr>
        <w:t>直接接触鲜切药材的加工人员上岗前应当接受健康检查。传染病人、体表有伤口、皮肤接触等对加工的鲜切药材有过敏者，不得从事鲜切药材的加工行为。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1" w:firstLineChars="200"/>
        <w:jc w:val="both"/>
        <w:rPr>
          <w:rFonts w:hint="default" w:ascii="Arial" w:hAnsi="Arial" w:cs="Arial"/>
          <w:b/>
          <w:bCs/>
          <w:i w:val="0"/>
          <w:iCs w:val="0"/>
          <w:caps w:val="0"/>
          <w:color w:val="333333"/>
          <w:spacing w:val="0"/>
          <w:sz w:val="24"/>
          <w:szCs w:val="24"/>
        </w:rPr>
      </w:pPr>
      <w:r>
        <w:rPr>
          <w:rFonts w:hint="eastAsia" w:ascii="Arial" w:hAnsi="Arial" w:cs="Arial"/>
          <w:b/>
          <w:bCs/>
          <w:i w:val="0"/>
          <w:iCs w:val="0"/>
          <w:caps w:val="0"/>
          <w:color w:val="333333"/>
          <w:spacing w:val="0"/>
          <w:sz w:val="24"/>
          <w:szCs w:val="24"/>
          <w:shd w:val="clear" w:fill="FFFFFF"/>
          <w:lang w:val="en-US" w:eastAsia="zh-CN"/>
        </w:rPr>
        <w:t xml:space="preserve">2. </w:t>
      </w:r>
      <w:r>
        <w:rPr>
          <w:rFonts w:hint="default" w:ascii="Arial" w:hAnsi="Arial" w:cs="Arial"/>
          <w:b/>
          <w:bCs/>
          <w:i w:val="0"/>
          <w:iCs w:val="0"/>
          <w:caps w:val="0"/>
          <w:color w:val="333333"/>
          <w:spacing w:val="0"/>
          <w:sz w:val="24"/>
          <w:szCs w:val="24"/>
          <w:shd w:val="clear" w:fill="FFFFFF"/>
        </w:rPr>
        <w:t>选址要求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shd w:val="clear" w:fill="FFFFFF"/>
        </w:rPr>
      </w:pPr>
      <w:r>
        <w:rPr>
          <w:rFonts w:hint="default" w:ascii="Arial" w:hAnsi="Arial" w:cs="Arial"/>
          <w:i w:val="0"/>
          <w:iCs w:val="0"/>
          <w:caps w:val="0"/>
          <w:color w:val="333333"/>
          <w:spacing w:val="0"/>
          <w:sz w:val="24"/>
          <w:szCs w:val="24"/>
          <w:shd w:val="clear" w:fill="FFFFFF"/>
        </w:rPr>
        <w:t>鲜切药材加工企业</w:t>
      </w:r>
      <w:r>
        <w:rPr>
          <w:rFonts w:hint="default" w:ascii="Arial" w:hAnsi="Arial" w:cs="Arial"/>
          <w:i w:val="0"/>
          <w:iCs w:val="0"/>
          <w:caps w:val="0"/>
          <w:color w:val="auto"/>
          <w:spacing w:val="0"/>
          <w:sz w:val="24"/>
          <w:szCs w:val="24"/>
          <w:shd w:val="clear" w:fill="FFFFFF"/>
        </w:rPr>
        <w:t>应当设置在中药材种植规模较大且相对集中的区域，符</w:t>
      </w:r>
      <w:r>
        <w:rPr>
          <w:rFonts w:hint="default" w:ascii="Arial" w:hAnsi="Arial" w:cs="Arial"/>
          <w:i w:val="0"/>
          <w:iCs w:val="0"/>
          <w:caps w:val="0"/>
          <w:color w:val="333333"/>
          <w:spacing w:val="0"/>
          <w:sz w:val="24"/>
          <w:szCs w:val="24"/>
          <w:shd w:val="clear" w:fill="FFFFFF"/>
        </w:rPr>
        <w:t>合环保等相关法律法规要求。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2.1 </w:t>
      </w:r>
      <w:r>
        <w:rPr>
          <w:rFonts w:hint="default" w:ascii="Arial" w:hAnsi="Arial" w:cs="Arial"/>
          <w:i w:val="0"/>
          <w:iCs w:val="0"/>
          <w:caps w:val="0"/>
          <w:color w:val="333333"/>
          <w:spacing w:val="0"/>
          <w:sz w:val="24"/>
          <w:szCs w:val="24"/>
          <w:shd w:val="clear" w:fill="FFFFFF"/>
        </w:rPr>
        <w:t>应当远离污染源，整洁卫生，且交通便利。</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2.2 </w:t>
      </w:r>
      <w:r>
        <w:rPr>
          <w:rFonts w:hint="default" w:ascii="Arial" w:hAnsi="Arial" w:cs="Arial"/>
          <w:i w:val="0"/>
          <w:iCs w:val="0"/>
          <w:caps w:val="0"/>
          <w:color w:val="333333"/>
          <w:spacing w:val="0"/>
          <w:sz w:val="24"/>
          <w:szCs w:val="24"/>
          <w:shd w:val="clear" w:fill="FFFFFF"/>
        </w:rPr>
        <w:t>厂区的地面、路面及运输等不应当对中药材的加工造成污染。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1" w:firstLineChars="200"/>
        <w:jc w:val="both"/>
        <w:rPr>
          <w:rFonts w:hint="default" w:ascii="Arial" w:hAnsi="Arial" w:cs="Arial"/>
          <w:b/>
          <w:bCs/>
          <w:i w:val="0"/>
          <w:iCs w:val="0"/>
          <w:caps w:val="0"/>
          <w:color w:val="333333"/>
          <w:spacing w:val="0"/>
          <w:sz w:val="24"/>
          <w:szCs w:val="24"/>
        </w:rPr>
      </w:pPr>
      <w:r>
        <w:rPr>
          <w:rFonts w:hint="eastAsia" w:ascii="Arial" w:hAnsi="Arial" w:cs="Arial"/>
          <w:b/>
          <w:bCs/>
          <w:i w:val="0"/>
          <w:iCs w:val="0"/>
          <w:caps w:val="0"/>
          <w:color w:val="333333"/>
          <w:spacing w:val="0"/>
          <w:sz w:val="24"/>
          <w:szCs w:val="24"/>
          <w:shd w:val="clear" w:fill="FFFFFF"/>
          <w:lang w:val="en-US" w:eastAsia="zh-CN"/>
        </w:rPr>
        <w:t xml:space="preserve">3. </w:t>
      </w:r>
      <w:r>
        <w:rPr>
          <w:rFonts w:hint="default" w:ascii="Arial" w:hAnsi="Arial" w:cs="Arial"/>
          <w:b/>
          <w:bCs/>
          <w:i w:val="0"/>
          <w:iCs w:val="0"/>
          <w:caps w:val="0"/>
          <w:color w:val="333333"/>
          <w:spacing w:val="0"/>
          <w:sz w:val="24"/>
          <w:szCs w:val="24"/>
          <w:shd w:val="clear" w:fill="FFFFFF"/>
        </w:rPr>
        <w:t>厂房与设施要求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3.1 </w:t>
      </w:r>
      <w:r>
        <w:rPr>
          <w:rFonts w:hint="default" w:ascii="Arial" w:hAnsi="Arial" w:cs="Arial"/>
          <w:i w:val="0"/>
          <w:iCs w:val="0"/>
          <w:caps w:val="0"/>
          <w:color w:val="333333"/>
          <w:spacing w:val="0"/>
          <w:sz w:val="24"/>
          <w:szCs w:val="24"/>
          <w:shd w:val="clear" w:fill="FFFFFF"/>
        </w:rPr>
        <w:t>厂房与设施应当按加工工艺流程合理布局，并设置与其加工规模相适应的净选、切制、干燥等操作间。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3.2 </w:t>
      </w:r>
      <w:r>
        <w:rPr>
          <w:rFonts w:hint="default" w:ascii="Arial" w:hAnsi="Arial" w:cs="Arial"/>
          <w:i w:val="0"/>
          <w:iCs w:val="0"/>
          <w:caps w:val="0"/>
          <w:color w:val="333333"/>
          <w:spacing w:val="0"/>
          <w:sz w:val="24"/>
          <w:szCs w:val="24"/>
          <w:shd w:val="clear" w:fill="FFFFFF"/>
        </w:rPr>
        <w:t>厂房地面、墙壁、天棚等内表面应当平整，易于清洁，不易产生脱落物，不易滋生霉菌；应当有防止昆虫或其他动物等进入的设施，灭鼠药、杀虫剂、烟熏剂等不得对设备、物料、产品造成污染。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3.3 </w:t>
      </w:r>
      <w:r>
        <w:rPr>
          <w:rFonts w:hint="default" w:ascii="Arial" w:hAnsi="Arial" w:cs="Arial"/>
          <w:i w:val="0"/>
          <w:iCs w:val="0"/>
          <w:caps w:val="0"/>
          <w:color w:val="333333"/>
          <w:spacing w:val="0"/>
          <w:sz w:val="24"/>
          <w:szCs w:val="24"/>
          <w:shd w:val="clear" w:fill="FFFFFF"/>
        </w:rPr>
        <w:t>具备与加工规模相适应的硬化晾晒场（与加工品种相适应的干燥设备或者烘房），应当有防止昆虫、鸟类或者啮齿类动物等进入的设施。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3.4 </w:t>
      </w:r>
      <w:r>
        <w:rPr>
          <w:rFonts w:hint="default" w:ascii="Arial" w:hAnsi="Arial" w:cs="Arial"/>
          <w:i w:val="0"/>
          <w:iCs w:val="0"/>
          <w:caps w:val="0"/>
          <w:color w:val="333333"/>
          <w:spacing w:val="0"/>
          <w:sz w:val="24"/>
          <w:szCs w:val="24"/>
          <w:shd w:val="clear" w:fill="FFFFFF"/>
        </w:rPr>
        <w:t>仓库内应当配备适当的设施，并采取有效措施，根据品种特性对温、湿度进行控制，保证中药材、中间产品、鲜切药材按照规定贮藏。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1" w:firstLineChars="200"/>
        <w:jc w:val="both"/>
        <w:rPr>
          <w:rFonts w:hint="default" w:ascii="Arial" w:hAnsi="Arial" w:cs="Arial"/>
          <w:b/>
          <w:bCs/>
          <w:i w:val="0"/>
          <w:iCs w:val="0"/>
          <w:caps w:val="0"/>
          <w:color w:val="333333"/>
          <w:spacing w:val="0"/>
          <w:sz w:val="24"/>
          <w:szCs w:val="24"/>
        </w:rPr>
      </w:pPr>
      <w:r>
        <w:rPr>
          <w:rFonts w:hint="eastAsia" w:ascii="Arial" w:hAnsi="Arial" w:cs="Arial"/>
          <w:b/>
          <w:bCs/>
          <w:i w:val="0"/>
          <w:iCs w:val="0"/>
          <w:caps w:val="0"/>
          <w:color w:val="333333"/>
          <w:spacing w:val="0"/>
          <w:sz w:val="24"/>
          <w:szCs w:val="24"/>
          <w:shd w:val="clear" w:fill="FFFFFF"/>
          <w:lang w:val="en-US" w:eastAsia="zh-CN"/>
        </w:rPr>
        <w:t xml:space="preserve">4. </w:t>
      </w:r>
      <w:r>
        <w:rPr>
          <w:rFonts w:hint="default" w:ascii="Arial" w:hAnsi="Arial" w:cs="Arial"/>
          <w:b/>
          <w:bCs/>
          <w:i w:val="0"/>
          <w:iCs w:val="0"/>
          <w:caps w:val="0"/>
          <w:color w:val="333333"/>
          <w:spacing w:val="0"/>
          <w:sz w:val="24"/>
          <w:szCs w:val="24"/>
          <w:shd w:val="clear" w:fill="FFFFFF"/>
        </w:rPr>
        <w:t>设备要求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4.1  </w:t>
      </w:r>
      <w:r>
        <w:rPr>
          <w:rFonts w:hint="default" w:ascii="Arial" w:hAnsi="Arial" w:cs="Arial"/>
          <w:i w:val="0"/>
          <w:iCs w:val="0"/>
          <w:caps w:val="0"/>
          <w:color w:val="333333"/>
          <w:spacing w:val="0"/>
          <w:sz w:val="24"/>
          <w:szCs w:val="24"/>
          <w:shd w:val="clear" w:fill="FFFFFF"/>
        </w:rPr>
        <w:t>应当根据中药材的不同特性需要，选用能满足加工工艺要求的设备。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4.2  </w:t>
      </w:r>
      <w:r>
        <w:rPr>
          <w:rFonts w:hint="default" w:ascii="Arial" w:hAnsi="Arial" w:cs="Arial"/>
          <w:i w:val="0"/>
          <w:iCs w:val="0"/>
          <w:caps w:val="0"/>
          <w:color w:val="333333"/>
          <w:spacing w:val="0"/>
          <w:sz w:val="24"/>
          <w:szCs w:val="24"/>
          <w:shd w:val="clear" w:fill="FFFFFF"/>
        </w:rPr>
        <w:t>与中药材、中间品和鲜切药材直接接触的设备、工具、容器应当易清洁，不易产生脱落物，不对中药材、中间品和鲜切药材质量产生不良影响。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shd w:val="clear" w:fill="FFFFFF"/>
        </w:rPr>
      </w:pPr>
      <w:r>
        <w:rPr>
          <w:rFonts w:hint="eastAsia" w:ascii="Arial" w:hAnsi="Arial" w:cs="Arial"/>
          <w:i w:val="0"/>
          <w:iCs w:val="0"/>
          <w:caps w:val="0"/>
          <w:color w:val="333333"/>
          <w:spacing w:val="0"/>
          <w:sz w:val="24"/>
          <w:szCs w:val="24"/>
          <w:shd w:val="clear" w:fill="FFFFFF"/>
          <w:lang w:val="en-US" w:eastAsia="zh-CN"/>
        </w:rPr>
        <w:t xml:space="preserve">4.3  </w:t>
      </w:r>
      <w:r>
        <w:rPr>
          <w:rFonts w:hint="default" w:ascii="Arial" w:hAnsi="Arial" w:cs="Arial"/>
          <w:i w:val="0"/>
          <w:iCs w:val="0"/>
          <w:caps w:val="0"/>
          <w:color w:val="333333"/>
          <w:spacing w:val="0"/>
          <w:sz w:val="24"/>
          <w:szCs w:val="24"/>
          <w:shd w:val="clear" w:fill="FFFFFF"/>
        </w:rPr>
        <w:t>鲜切药材生产用水应</w:t>
      </w:r>
      <w:r>
        <w:rPr>
          <w:rFonts w:hint="default" w:ascii="Arial" w:hAnsi="Arial" w:cs="Arial"/>
          <w:i w:val="0"/>
          <w:iCs w:val="0"/>
          <w:caps w:val="0"/>
          <w:color w:val="auto"/>
          <w:spacing w:val="0"/>
          <w:sz w:val="24"/>
          <w:szCs w:val="24"/>
          <w:shd w:val="clear" w:fill="FFFFFF"/>
        </w:rPr>
        <w:t>至少</w:t>
      </w:r>
      <w:r>
        <w:rPr>
          <w:rFonts w:hint="default" w:ascii="Arial" w:hAnsi="Arial" w:cs="Arial"/>
          <w:i w:val="0"/>
          <w:iCs w:val="0"/>
          <w:caps w:val="0"/>
          <w:color w:val="333333"/>
          <w:spacing w:val="0"/>
          <w:sz w:val="24"/>
          <w:szCs w:val="24"/>
          <w:shd w:val="clear" w:fill="FFFFFF"/>
        </w:rPr>
        <w:t>符合饮用水标准。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1" w:firstLineChars="200"/>
        <w:jc w:val="both"/>
        <w:rPr>
          <w:rFonts w:hint="default" w:ascii="Arial" w:hAnsi="Arial" w:cs="Arial"/>
          <w:b/>
          <w:bCs/>
          <w:i w:val="0"/>
          <w:iCs w:val="0"/>
          <w:caps w:val="0"/>
          <w:color w:val="333333"/>
          <w:spacing w:val="0"/>
          <w:sz w:val="24"/>
          <w:szCs w:val="24"/>
        </w:rPr>
      </w:pPr>
      <w:r>
        <w:rPr>
          <w:rFonts w:hint="eastAsia" w:ascii="Arial" w:hAnsi="Arial" w:cs="Arial"/>
          <w:b/>
          <w:bCs/>
          <w:i w:val="0"/>
          <w:iCs w:val="0"/>
          <w:caps w:val="0"/>
          <w:color w:val="333333"/>
          <w:spacing w:val="0"/>
          <w:sz w:val="24"/>
          <w:szCs w:val="24"/>
          <w:shd w:val="clear" w:fill="FFFFFF"/>
          <w:lang w:val="en-US" w:eastAsia="zh-CN"/>
        </w:rPr>
        <w:t xml:space="preserve">5. </w:t>
      </w:r>
      <w:r>
        <w:rPr>
          <w:rFonts w:hint="default" w:ascii="Arial" w:hAnsi="Arial" w:cs="Arial"/>
          <w:b/>
          <w:bCs/>
          <w:i w:val="0"/>
          <w:iCs w:val="0"/>
          <w:caps w:val="0"/>
          <w:color w:val="333333"/>
          <w:spacing w:val="0"/>
          <w:sz w:val="24"/>
          <w:szCs w:val="24"/>
          <w:shd w:val="clear" w:fill="FFFFFF"/>
        </w:rPr>
        <w:t>包装与运输要求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shd w:val="clear" w:fill="FFFFFF"/>
        </w:rPr>
      </w:pPr>
      <w:r>
        <w:rPr>
          <w:rFonts w:hint="eastAsia" w:ascii="Arial" w:hAnsi="Arial" w:cs="Arial"/>
          <w:i w:val="0"/>
          <w:iCs w:val="0"/>
          <w:caps w:val="0"/>
          <w:color w:val="333333"/>
          <w:spacing w:val="0"/>
          <w:sz w:val="24"/>
          <w:szCs w:val="24"/>
          <w:shd w:val="clear" w:fill="FFFFFF"/>
          <w:lang w:val="en-US" w:eastAsia="zh-CN"/>
        </w:rPr>
        <w:t xml:space="preserve">5.1 </w:t>
      </w:r>
      <w:r>
        <w:rPr>
          <w:rFonts w:hint="default" w:ascii="Arial" w:hAnsi="Arial" w:cs="Arial"/>
          <w:i w:val="0"/>
          <w:iCs w:val="0"/>
          <w:caps w:val="0"/>
          <w:color w:val="333333"/>
          <w:spacing w:val="0"/>
          <w:sz w:val="24"/>
          <w:szCs w:val="24"/>
          <w:shd w:val="clear" w:fill="FFFFFF"/>
        </w:rPr>
        <w:t>应当选用能够保证</w:t>
      </w:r>
      <w:r>
        <w:rPr>
          <w:rFonts w:hint="eastAsia" w:ascii="Arial" w:hAnsi="Arial" w:cs="Arial"/>
          <w:i w:val="0"/>
          <w:iCs w:val="0"/>
          <w:caps w:val="0"/>
          <w:color w:val="333333"/>
          <w:spacing w:val="0"/>
          <w:sz w:val="24"/>
          <w:szCs w:val="24"/>
          <w:shd w:val="clear" w:fill="FFFFFF"/>
          <w:lang w:val="en-US" w:eastAsia="zh-CN"/>
        </w:rPr>
        <w:t>鲜切药材</w:t>
      </w:r>
      <w:r>
        <w:rPr>
          <w:rFonts w:hint="default" w:ascii="Arial" w:hAnsi="Arial" w:cs="Arial"/>
          <w:i w:val="0"/>
          <w:iCs w:val="0"/>
          <w:caps w:val="0"/>
          <w:color w:val="333333"/>
          <w:spacing w:val="0"/>
          <w:sz w:val="24"/>
          <w:szCs w:val="24"/>
          <w:shd w:val="clear" w:fill="FFFFFF"/>
        </w:rPr>
        <w:t>贮存和运输期间质量的包装材料或容器。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shd w:val="clear" w:fill="FFFFFF"/>
        </w:rPr>
      </w:pPr>
      <w:r>
        <w:rPr>
          <w:rFonts w:hint="eastAsia" w:ascii="Arial" w:hAnsi="Arial" w:cs="Arial"/>
          <w:i w:val="0"/>
          <w:iCs w:val="0"/>
          <w:caps w:val="0"/>
          <w:color w:val="333333"/>
          <w:spacing w:val="0"/>
          <w:sz w:val="24"/>
          <w:szCs w:val="24"/>
          <w:shd w:val="clear" w:fill="FFFFFF"/>
          <w:lang w:val="en-US" w:eastAsia="zh-CN"/>
        </w:rPr>
        <w:t xml:space="preserve">5.2 </w:t>
      </w:r>
      <w:r>
        <w:rPr>
          <w:rFonts w:hint="default" w:ascii="Arial" w:hAnsi="Arial" w:cs="Arial"/>
          <w:i w:val="0"/>
          <w:iCs w:val="0"/>
          <w:caps w:val="0"/>
          <w:color w:val="333333"/>
          <w:spacing w:val="0"/>
          <w:sz w:val="24"/>
          <w:szCs w:val="24"/>
          <w:shd w:val="clear" w:fill="FFFFFF"/>
        </w:rPr>
        <w:t>运输过程应当根据中药材、鲜切药材的质量特性采取有效可靠的措施，保证其质量稳定。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1" w:firstLineChars="200"/>
        <w:jc w:val="both"/>
        <w:rPr>
          <w:rFonts w:hint="default" w:ascii="Arial" w:hAnsi="Arial" w:cs="Arial"/>
          <w:b/>
          <w:bCs/>
          <w:i w:val="0"/>
          <w:iCs w:val="0"/>
          <w:caps w:val="0"/>
          <w:color w:val="333333"/>
          <w:spacing w:val="0"/>
          <w:sz w:val="24"/>
          <w:szCs w:val="24"/>
        </w:rPr>
      </w:pPr>
      <w:r>
        <w:rPr>
          <w:rFonts w:hint="eastAsia" w:ascii="Arial" w:hAnsi="Arial" w:cs="Arial"/>
          <w:b/>
          <w:bCs/>
          <w:i w:val="0"/>
          <w:iCs w:val="0"/>
          <w:caps w:val="0"/>
          <w:color w:val="333333"/>
          <w:spacing w:val="0"/>
          <w:sz w:val="24"/>
          <w:szCs w:val="24"/>
          <w:shd w:val="clear" w:fill="FFFFFF"/>
          <w:lang w:val="en-US" w:eastAsia="zh-CN"/>
        </w:rPr>
        <w:t xml:space="preserve">6. </w:t>
      </w:r>
      <w:r>
        <w:rPr>
          <w:rFonts w:hint="default" w:ascii="Arial" w:hAnsi="Arial" w:cs="Arial"/>
          <w:b/>
          <w:bCs/>
          <w:i w:val="0"/>
          <w:iCs w:val="0"/>
          <w:caps w:val="0"/>
          <w:color w:val="333333"/>
          <w:spacing w:val="0"/>
          <w:sz w:val="24"/>
          <w:szCs w:val="24"/>
          <w:shd w:val="clear" w:fill="FFFFFF"/>
        </w:rPr>
        <w:t>文件管理要求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6.1 </w:t>
      </w:r>
      <w:r>
        <w:rPr>
          <w:rFonts w:hint="default" w:ascii="Arial" w:hAnsi="Arial" w:cs="Arial"/>
          <w:i w:val="0"/>
          <w:iCs w:val="0"/>
          <w:caps w:val="0"/>
          <w:color w:val="333333"/>
          <w:spacing w:val="0"/>
          <w:sz w:val="24"/>
          <w:szCs w:val="24"/>
          <w:shd w:val="clear" w:fill="FFFFFF"/>
        </w:rPr>
        <w:t>应当具有相应的鲜切药材产品质量标准和加工工艺、人员管理、原料管理、加工过程管理、仓储管理等制度文件。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6.2 </w:t>
      </w:r>
      <w:r>
        <w:rPr>
          <w:rFonts w:hint="default" w:ascii="Arial" w:hAnsi="Arial" w:cs="Arial"/>
          <w:i w:val="0"/>
          <w:iCs w:val="0"/>
          <w:caps w:val="0"/>
          <w:color w:val="333333"/>
          <w:spacing w:val="0"/>
          <w:sz w:val="24"/>
          <w:szCs w:val="24"/>
          <w:shd w:val="clear" w:fill="FFFFFF"/>
        </w:rPr>
        <w:t>应当对中药材产地加工（趁鲜切制）的加工、干燥、包装、储存的全过程和质量控制情况进行记录，批记录至少包括以下内容：中药材的名称、批号、投料量及投料记录；净制、切制、干燥等工艺的设备编号；加工前的检查和核对的记录；各工序的加工操作记录；清场记录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1" w:firstLineChars="200"/>
        <w:jc w:val="both"/>
        <w:rPr>
          <w:rFonts w:hint="default" w:ascii="Arial" w:hAnsi="Arial" w:cs="Arial"/>
          <w:b/>
          <w:bCs/>
          <w:i w:val="0"/>
          <w:iCs w:val="0"/>
          <w:caps w:val="0"/>
          <w:color w:val="333333"/>
          <w:spacing w:val="0"/>
          <w:sz w:val="24"/>
          <w:szCs w:val="24"/>
        </w:rPr>
      </w:pPr>
      <w:r>
        <w:rPr>
          <w:rFonts w:hint="eastAsia" w:ascii="Arial" w:hAnsi="Arial" w:cs="Arial"/>
          <w:b/>
          <w:bCs/>
          <w:i w:val="0"/>
          <w:iCs w:val="0"/>
          <w:caps w:val="0"/>
          <w:color w:val="333333"/>
          <w:spacing w:val="0"/>
          <w:sz w:val="24"/>
          <w:szCs w:val="24"/>
          <w:shd w:val="clear" w:fill="FFFFFF"/>
          <w:lang w:val="en-US" w:eastAsia="zh-CN"/>
        </w:rPr>
        <w:t xml:space="preserve">7. </w:t>
      </w:r>
      <w:r>
        <w:rPr>
          <w:rFonts w:hint="default" w:ascii="Arial" w:hAnsi="Arial" w:cs="Arial"/>
          <w:b/>
          <w:bCs/>
          <w:i w:val="0"/>
          <w:iCs w:val="0"/>
          <w:caps w:val="0"/>
          <w:color w:val="333333"/>
          <w:spacing w:val="0"/>
          <w:sz w:val="24"/>
          <w:szCs w:val="24"/>
          <w:shd w:val="clear" w:fill="FFFFFF"/>
        </w:rPr>
        <w:t>加工管理要求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7.1 </w:t>
      </w:r>
      <w:r>
        <w:rPr>
          <w:rFonts w:hint="default" w:ascii="Arial" w:hAnsi="Arial" w:cs="Arial"/>
          <w:i w:val="0"/>
          <w:iCs w:val="0"/>
          <w:caps w:val="0"/>
          <w:color w:val="333333"/>
          <w:spacing w:val="0"/>
          <w:sz w:val="24"/>
          <w:szCs w:val="24"/>
          <w:shd w:val="clear" w:fill="FFFFFF"/>
        </w:rPr>
        <w:t>进入加工区的人员应当具备清洁防护和保障措施。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7.2 </w:t>
      </w:r>
      <w:r>
        <w:rPr>
          <w:rFonts w:hint="default" w:ascii="Arial" w:hAnsi="Arial" w:cs="Arial"/>
          <w:i w:val="0"/>
          <w:iCs w:val="0"/>
          <w:caps w:val="0"/>
          <w:color w:val="333333"/>
          <w:spacing w:val="0"/>
          <w:sz w:val="24"/>
          <w:szCs w:val="24"/>
          <w:shd w:val="clear" w:fill="FFFFFF"/>
        </w:rPr>
        <w:t>清洗后的中药材不得直接接触地面。晾晒过程应当采取有效地防虫、防雨等防污染措施。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7.3 </w:t>
      </w:r>
      <w:r>
        <w:rPr>
          <w:rFonts w:hint="default" w:ascii="Arial" w:hAnsi="Arial" w:cs="Arial"/>
          <w:i w:val="0"/>
          <w:iCs w:val="0"/>
          <w:caps w:val="0"/>
          <w:color w:val="333333"/>
          <w:spacing w:val="0"/>
          <w:sz w:val="24"/>
          <w:szCs w:val="24"/>
          <w:shd w:val="clear" w:fill="FFFFFF"/>
        </w:rPr>
        <w:t>应当使用流动的饮用水清洗中药材，用过的水不得用于清洗其他中药材。不同的中药材不得同时在同一容器中清洗、浸润。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7.4 </w:t>
      </w:r>
      <w:r>
        <w:rPr>
          <w:rFonts w:hint="default" w:ascii="Arial" w:hAnsi="Arial" w:cs="Arial"/>
          <w:i w:val="0"/>
          <w:iCs w:val="0"/>
          <w:caps w:val="0"/>
          <w:color w:val="333333"/>
          <w:spacing w:val="0"/>
          <w:sz w:val="24"/>
          <w:szCs w:val="24"/>
          <w:shd w:val="clear" w:fill="FFFFFF"/>
        </w:rPr>
        <w:t>加工过程中不得加入漂白、杀虫等药剂，不应滥用硫黄熏蒸等。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7.5 </w:t>
      </w:r>
      <w:r>
        <w:rPr>
          <w:rFonts w:hint="default" w:ascii="Arial" w:hAnsi="Arial" w:cs="Arial"/>
          <w:i w:val="0"/>
          <w:iCs w:val="0"/>
          <w:caps w:val="0"/>
          <w:color w:val="333333"/>
          <w:spacing w:val="0"/>
          <w:sz w:val="24"/>
          <w:szCs w:val="24"/>
          <w:shd w:val="clear" w:fill="FFFFFF"/>
        </w:rPr>
        <w:t>以中药材投料日期作为加工日期。应当以同一批中药材，在同一连续加工周期加工的一定数量相对均质的成品为一批。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firstLine="480" w:firstLineChars="200"/>
        <w:jc w:val="both"/>
        <w:rPr>
          <w:rFonts w:hint="default" w:ascii="Arial" w:hAnsi="Arial" w:cs="Arial"/>
          <w:i w:val="0"/>
          <w:iCs w:val="0"/>
          <w:caps w:val="0"/>
          <w:color w:val="333333"/>
          <w:spacing w:val="0"/>
          <w:sz w:val="24"/>
          <w:szCs w:val="24"/>
        </w:rPr>
      </w:pPr>
      <w:r>
        <w:rPr>
          <w:rFonts w:hint="eastAsia" w:ascii="Arial" w:hAnsi="Arial" w:cs="Arial"/>
          <w:i w:val="0"/>
          <w:iCs w:val="0"/>
          <w:caps w:val="0"/>
          <w:color w:val="333333"/>
          <w:spacing w:val="0"/>
          <w:sz w:val="24"/>
          <w:szCs w:val="24"/>
          <w:shd w:val="clear" w:fill="FFFFFF"/>
          <w:lang w:val="en-US" w:eastAsia="zh-CN"/>
        </w:rPr>
        <w:t xml:space="preserve">7.6 </w:t>
      </w:r>
      <w:r>
        <w:rPr>
          <w:rFonts w:hint="default" w:ascii="Arial" w:hAnsi="Arial" w:cs="Arial"/>
          <w:i w:val="0"/>
          <w:iCs w:val="0"/>
          <w:caps w:val="0"/>
          <w:color w:val="333333"/>
          <w:spacing w:val="0"/>
          <w:sz w:val="24"/>
          <w:szCs w:val="24"/>
          <w:shd w:val="clear" w:fill="FFFFFF"/>
        </w:rPr>
        <w:t>在同一操作间内同时进行不同品种、规格的鲜切药材生产操作应当采取防止交叉污染的隔离措施。</w:t>
      </w:r>
    </w:p>
    <w:p/>
    <w:p/>
    <w:p/>
    <w:p>
      <w:pPr>
        <w:rPr>
          <w:rFonts w:hint="default"/>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83" w:usb1="288F0000" w:usb2="00000006" w:usb3="00000000" w:csb0="00040001"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2n+0F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yQ0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af7QUdAgAAKwQAAA4AAAAAAAAAAQAgAAAANQEAAGRycy9lMm9Eb2MueG1sUEsF&#10;BgAAAAAGAAYAWQEAAMQ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C8EDB"/>
    <w:multiLevelType w:val="singleLevel"/>
    <w:tmpl w:val="BECC8EDB"/>
    <w:lvl w:ilvl="0" w:tentative="0">
      <w:start w:val="1"/>
      <w:numFmt w:val="decimal"/>
      <w:suff w:val="space"/>
      <w:lvlText w:val="%1."/>
      <w:lvlJc w:val="left"/>
    </w:lvl>
  </w:abstractNum>
  <w:abstractNum w:abstractNumId="1">
    <w:nsid w:val="0A1E8662"/>
    <w:multiLevelType w:val="singleLevel"/>
    <w:tmpl w:val="0A1E8662"/>
    <w:lvl w:ilvl="0" w:tentative="0">
      <w:start w:val="4"/>
      <w:numFmt w:val="decimal"/>
      <w:suff w:val="space"/>
      <w:lvlText w:val="%1."/>
      <w:lvlJc w:val="left"/>
    </w:lvl>
  </w:abstractNum>
  <w:abstractNum w:abstractNumId="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3"/>
      <w:suff w:val="nothing"/>
      <w:lvlText w:val="%1%2　"/>
      <w:lvlJc w:val="left"/>
      <w:pPr>
        <w:ind w:left="142" w:firstLine="0"/>
      </w:pPr>
      <w:rPr>
        <w:rFonts w:hint="eastAsia" w:ascii="黑体" w:eastAsia="黑体"/>
        <w:b w:val="0"/>
        <w:i w:val="0"/>
        <w:sz w:val="21"/>
      </w:rPr>
    </w:lvl>
    <w:lvl w:ilvl="2" w:tentative="0">
      <w:start w:val="1"/>
      <w:numFmt w:val="decimal"/>
      <w:pStyle w:val="16"/>
      <w:suff w:val="nothing"/>
      <w:lvlText w:val="%1%2.%3　"/>
      <w:lvlJc w:val="left"/>
      <w:pPr>
        <w:ind w:left="1277"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18"/>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B2DBC"/>
    <w:rsid w:val="04A5693D"/>
    <w:rsid w:val="063C6CA3"/>
    <w:rsid w:val="090921D8"/>
    <w:rsid w:val="0AA915C8"/>
    <w:rsid w:val="0B4E01E0"/>
    <w:rsid w:val="0B594AED"/>
    <w:rsid w:val="0B7D5C7A"/>
    <w:rsid w:val="140E413A"/>
    <w:rsid w:val="1593213A"/>
    <w:rsid w:val="1BDB61B1"/>
    <w:rsid w:val="1C21480E"/>
    <w:rsid w:val="21C2133E"/>
    <w:rsid w:val="27DD0D39"/>
    <w:rsid w:val="2F2B19DD"/>
    <w:rsid w:val="359E46E3"/>
    <w:rsid w:val="374B77A0"/>
    <w:rsid w:val="398641B1"/>
    <w:rsid w:val="3ADE5D64"/>
    <w:rsid w:val="413720DA"/>
    <w:rsid w:val="424E1986"/>
    <w:rsid w:val="46C94885"/>
    <w:rsid w:val="4C867173"/>
    <w:rsid w:val="4E53350C"/>
    <w:rsid w:val="544E23D2"/>
    <w:rsid w:val="554341E0"/>
    <w:rsid w:val="564528B0"/>
    <w:rsid w:val="56A544CF"/>
    <w:rsid w:val="57FFCBD9"/>
    <w:rsid w:val="58CB647F"/>
    <w:rsid w:val="5C7646D1"/>
    <w:rsid w:val="5DBF9AEE"/>
    <w:rsid w:val="61477910"/>
    <w:rsid w:val="68386205"/>
    <w:rsid w:val="68F148CF"/>
    <w:rsid w:val="69E6255A"/>
    <w:rsid w:val="6D541CD9"/>
    <w:rsid w:val="6FDE1990"/>
    <w:rsid w:val="70711EF0"/>
    <w:rsid w:val="77880CC9"/>
    <w:rsid w:val="79F779CA"/>
    <w:rsid w:val="7F2330F4"/>
    <w:rsid w:val="7F2D7D28"/>
    <w:rsid w:val="7F756A37"/>
    <w:rsid w:val="7FBF12BB"/>
    <w:rsid w:val="7FFFCB01"/>
    <w:rsid w:val="B7FB0594"/>
    <w:rsid w:val="BBB7A407"/>
    <w:rsid w:val="D7BAEF36"/>
    <w:rsid w:val="FAFF0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unhideWhenUsed/>
    <w:qFormat/>
    <w:uiPriority w:val="39"/>
    <w:rPr>
      <w:rFonts w:ascii="宋体"/>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qFormat/>
    <w:uiPriority w:val="99"/>
    <w:rPr>
      <w:rFonts w:ascii="宋体" w:hAnsi="Times New Roman" w:eastAsia="宋体"/>
      <w:color w:val="auto"/>
      <w:spacing w:val="0"/>
      <w:w w:val="100"/>
      <w:position w:val="0"/>
      <w:sz w:val="21"/>
      <w:u w:val="none"/>
      <w:vertAlign w:val="baseline"/>
    </w:rPr>
  </w:style>
  <w:style w:type="paragraph" w:customStyle="1" w:styleId="10">
    <w:name w:val="Body Text First Indent 21"/>
    <w:basedOn w:val="11"/>
    <w:qFormat/>
    <w:uiPriority w:val="0"/>
    <w:pPr>
      <w:ind w:firstLine="420" w:firstLineChars="200"/>
    </w:pPr>
  </w:style>
  <w:style w:type="paragraph" w:customStyle="1" w:styleId="11">
    <w:name w:val="Body Text Indent1"/>
    <w:basedOn w:val="1"/>
    <w:qFormat/>
    <w:uiPriority w:val="0"/>
    <w:pPr>
      <w:ind w:left="420" w:leftChars="200"/>
    </w:pPr>
  </w:style>
  <w:style w:type="paragraph" w:customStyle="1" w:styleId="1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
    <w:name w:val="标准文件_章标题"/>
    <w:next w:val="12"/>
    <w:qFormat/>
    <w:uiPriority w:val="0"/>
    <w:pPr>
      <w:numPr>
        <w:ilvl w:val="1"/>
        <w:numId w:val="1"/>
      </w:numPr>
      <w:spacing w:beforeLines="100" w:afterLines="100"/>
      <w:jc w:val="both"/>
      <w:outlineLvl w:val="0"/>
    </w:pPr>
    <w:rPr>
      <w:rFonts w:ascii="黑体" w:hAnsi="Times New Roman" w:eastAsia="黑体" w:cs="Times New Roman"/>
      <w:sz w:val="21"/>
      <w:lang w:val="en-US" w:eastAsia="zh-CN" w:bidi="ar-SA"/>
    </w:rPr>
  </w:style>
  <w:style w:type="paragraph" w:customStyle="1" w:styleId="14">
    <w:name w:val="标准文件_术语条一"/>
    <w:basedOn w:val="15"/>
    <w:next w:val="12"/>
    <w:qFormat/>
    <w:uiPriority w:val="0"/>
  </w:style>
  <w:style w:type="paragraph" w:customStyle="1" w:styleId="15">
    <w:name w:val="标准文件_一级无标题"/>
    <w:basedOn w:val="16"/>
    <w:qFormat/>
    <w:uiPriority w:val="0"/>
    <w:pPr>
      <w:spacing w:beforeLines="0" w:afterLines="0"/>
      <w:outlineLvl w:val="9"/>
    </w:pPr>
    <w:rPr>
      <w:rFonts w:ascii="宋体" w:eastAsia="宋体"/>
    </w:rPr>
  </w:style>
  <w:style w:type="paragraph" w:customStyle="1" w:styleId="16">
    <w:name w:val="标准文件_一级条标题"/>
    <w:basedOn w:val="13"/>
    <w:next w:val="12"/>
    <w:qFormat/>
    <w:uiPriority w:val="0"/>
    <w:pPr>
      <w:numPr>
        <w:ilvl w:val="2"/>
      </w:numPr>
      <w:spacing w:beforeLines="50" w:afterLines="50"/>
      <w:ind w:left="0"/>
      <w:outlineLvl w:val="1"/>
    </w:pPr>
  </w:style>
  <w:style w:type="paragraph" w:customStyle="1" w:styleId="1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8">
    <w:name w:val="标准文件_二级条标题"/>
    <w:next w:val="12"/>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b00b7d5-6ba0-45fa-a381-d464ab6a42f2}"/>
        <w:style w:val=""/>
        <w:category>
          <w:name w:val="常规"/>
          <w:gallery w:val="placeholder"/>
        </w:category>
        <w:types>
          <w:type w:val="bbPlcHdr"/>
        </w:types>
        <w:behaviors>
          <w:behavior w:val="content"/>
        </w:behaviors>
        <w:description w:val=""/>
        <w:guid w:val="{0b00b7d5-6ba0-45fa-a381-d464ab6a42f2}"/>
      </w:docPartPr>
      <w:docPartBody>
        <w:p>
          <w:pPr>
            <w:pStyle w:val="4"/>
          </w:pPr>
          <w:r>
            <w:rPr>
              <w:rStyle w:val="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E99DFD45567F472CAB6A19C712D91733"/>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basedOn w:val="1"/>
    <w:semiHidden/>
    <w:qFormat/>
    <w:uiPriority w:val="99"/>
    <w:rPr>
      <w:color w:val="808080"/>
    </w:rPr>
  </w:style>
  <w:style w:type="paragraph" w:customStyle="1" w:styleId="4">
    <w:name w:val="6A74D41CA1814C63B44BF5C04376EDC9"/>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3861</Words>
  <Characters>3984</Characters>
  <Lines>0</Lines>
  <Paragraphs>0</Paragraphs>
  <TotalTime>21</TotalTime>
  <ScaleCrop>false</ScaleCrop>
  <LinksUpToDate>false</LinksUpToDate>
  <CharactersWithSpaces>4152</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2026-07-03T17:48:00Z</dcterms:created>
  <dc:creator>Administrator</dc:creator>
  <cp:lastModifiedBy>admin</cp:lastModifiedBy>
  <dcterms:modified xsi:type="dcterms:W3CDTF">2026-09-17T08:47:57Z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KSOTemplateDocerSaveRecord">
    <vt:lpwstr>eyJoZGlkIjoiNjJmYzBhMjczNWJhNGM3NWFhODcxMzhhYzIxN2YyYjciLCJ1c2VySWQiOiIxMzA1NDI3ODY3In0=</vt:lpwstr>
  </property>
  <property fmtid="{D5CDD505-2E9C-101B-9397-08002B2CF9AE}" pid="4" name="ICV">
    <vt:lpwstr>1023C3E5568C4F7BA86CFDD242EE4537_12</vt:lpwstr>
  </property>
</Properties>
</file>