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3509A">
      <w:pPr>
        <w:spacing w:before="380" w:after="140" w:line="288" w:lineRule="auto"/>
        <w:ind w:left="0"/>
        <w:jc w:val="center"/>
        <w:outlineLvl w:val="0"/>
        <w:rPr>
          <w:rFonts w:hint="eastAsia" w:ascii="宋体" w:hAnsi="宋体" w:eastAsia="宋体" w:cs="宋体"/>
          <w:b/>
          <w:sz w:val="84"/>
          <w:szCs w:val="84"/>
        </w:rPr>
      </w:pPr>
      <w:bookmarkStart w:id="0" w:name="heading_0"/>
    </w:p>
    <w:p w14:paraId="7F78C6B0">
      <w:pPr>
        <w:spacing w:before="380" w:after="140" w:line="288" w:lineRule="auto"/>
        <w:ind w:left="0"/>
        <w:jc w:val="center"/>
        <w:outlineLvl w:val="0"/>
        <w:rPr>
          <w:rFonts w:hint="eastAsia" w:ascii="宋体" w:hAnsi="宋体" w:eastAsia="宋体" w:cs="宋体"/>
          <w:b/>
          <w:sz w:val="36"/>
        </w:rPr>
      </w:pPr>
      <w:r>
        <w:rPr>
          <w:rFonts w:hint="eastAsia" w:ascii="黑体" w:hAnsi="黑体" w:eastAsia="黑体" w:cs="黑体"/>
          <w:b/>
          <w:sz w:val="72"/>
          <w:szCs w:val="72"/>
        </w:rPr>
        <w:t>团</w:t>
      </w:r>
      <w:r>
        <w:rPr>
          <w:rFonts w:hint="eastAsia" w:ascii="黑体" w:hAnsi="黑体" w:eastAsia="黑体" w:cs="黑体"/>
          <w:b/>
          <w:sz w:val="72"/>
          <w:szCs w:val="72"/>
          <w:lang w:val="en-US" w:eastAsia="zh-CN"/>
        </w:rPr>
        <w:t xml:space="preserve">  </w:t>
      </w:r>
      <w:r>
        <w:rPr>
          <w:rFonts w:hint="eastAsia" w:ascii="黑体" w:hAnsi="黑体" w:eastAsia="黑体" w:cs="黑体"/>
          <w:b/>
          <w:sz w:val="72"/>
          <w:szCs w:val="72"/>
        </w:rPr>
        <w:t>体</w:t>
      </w:r>
      <w:r>
        <w:rPr>
          <w:rFonts w:hint="eastAsia" w:ascii="黑体" w:hAnsi="黑体" w:eastAsia="黑体" w:cs="黑体"/>
          <w:b/>
          <w:sz w:val="72"/>
          <w:szCs w:val="72"/>
          <w:lang w:val="en-US" w:eastAsia="zh-CN"/>
        </w:rPr>
        <w:t xml:space="preserve">  </w:t>
      </w:r>
      <w:r>
        <w:rPr>
          <w:rFonts w:hint="eastAsia" w:ascii="黑体" w:hAnsi="黑体" w:eastAsia="黑体" w:cs="黑体"/>
          <w:b/>
          <w:sz w:val="72"/>
          <w:szCs w:val="72"/>
        </w:rPr>
        <w:t>标</w:t>
      </w:r>
      <w:r>
        <w:rPr>
          <w:rFonts w:hint="eastAsia" w:ascii="黑体" w:hAnsi="黑体" w:eastAsia="黑体" w:cs="黑体"/>
          <w:b/>
          <w:sz w:val="72"/>
          <w:szCs w:val="72"/>
          <w:lang w:val="en-US" w:eastAsia="zh-CN"/>
        </w:rPr>
        <w:t xml:space="preserve">  </w:t>
      </w:r>
      <w:r>
        <w:rPr>
          <w:rFonts w:hint="eastAsia" w:ascii="黑体" w:hAnsi="黑体" w:eastAsia="黑体" w:cs="黑体"/>
          <w:b/>
          <w:sz w:val="72"/>
          <w:szCs w:val="72"/>
        </w:rPr>
        <w:t>准</w:t>
      </w:r>
      <w:bookmarkEnd w:id="0"/>
    </w:p>
    <w:p w14:paraId="07C58A08">
      <w:pPr>
        <w:spacing w:before="380" w:after="140" w:line="288" w:lineRule="auto"/>
        <w:ind w:left="0"/>
        <w:jc w:val="center"/>
        <w:outlineLvl w:val="0"/>
        <w:rPr>
          <w:rFonts w:hint="eastAsia" w:ascii="宋体" w:hAnsi="宋体" w:eastAsia="宋体" w:cs="宋体"/>
          <w:b/>
          <w:sz w:val="36"/>
        </w:rPr>
      </w:pPr>
      <w:r>
        <w:rPr>
          <w:rFonts w:hint="eastAsia" w:ascii="宋体" w:hAnsi="宋体" w:eastAsia="宋体" w:cs="宋体"/>
          <w:sz w:val="48"/>
        </w:rPr>
        <w:pict>
          <v:line id="_x0000_s1026" o:spid="_x0000_s1026" o:spt="20" style="position:absolute;left:0pt;margin-left:8.95pt;margin-top:14.55pt;height:1pt;width:404.05pt;z-index:251660288;mso-width-relative:page;mso-height-relative:page;" filled="f" stroked="t" coordsize="21600,21600" o:gfxdata="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baFerXAAAACAEAAA8AAAAAAAAAAQAgAAAAIgAAAGRycy9kb3ducmV2Lnht&#10;bFBLAQIUABQAAAAIAIdO4kAUeDCe+gEAAOsDAAAOAAAAAAAAAAEAIAAAACYBAABkcnMvZTJvRG9j&#10;LnhtbFBLBQYAAAAABgAGAFkBAACSBQAAAAA=&#10;">
            <v:path arrowok="t"/>
            <v:fill on="f" focussize="0,0"/>
            <v:stroke color="#000000" joinstyle="round"/>
            <v:imagedata o:title=""/>
            <o:lock v:ext="edit" aspectratio="f"/>
          </v:line>
        </w:pict>
      </w:r>
    </w:p>
    <w:p w14:paraId="71EE81AF">
      <w:pPr>
        <w:spacing w:before="380" w:after="140" w:line="288" w:lineRule="auto"/>
        <w:ind w:left="0"/>
        <w:jc w:val="both"/>
        <w:outlineLvl w:val="0"/>
        <w:rPr>
          <w:rFonts w:hint="eastAsia" w:ascii="宋体" w:hAnsi="宋体" w:eastAsia="宋体" w:cs="宋体"/>
          <w:b/>
          <w:sz w:val="36"/>
        </w:rPr>
      </w:pPr>
      <w:bookmarkStart w:id="1" w:name="heading_1"/>
    </w:p>
    <w:p w14:paraId="2C1524BB">
      <w:pPr>
        <w:spacing w:before="380" w:after="140" w:line="288" w:lineRule="auto"/>
        <w:ind w:left="0"/>
        <w:jc w:val="center"/>
        <w:outlineLvl w:val="0"/>
        <w:rPr>
          <w:rFonts w:hint="eastAsia" w:ascii="黑体" w:hAnsi="黑体" w:eastAsia="黑体" w:cs="黑体"/>
          <w:b/>
          <w:sz w:val="44"/>
          <w:szCs w:val="28"/>
        </w:rPr>
      </w:pPr>
      <w:r>
        <w:rPr>
          <w:rFonts w:hint="eastAsia" w:ascii="黑体" w:hAnsi="黑体" w:eastAsia="黑体" w:cs="黑体"/>
          <w:b/>
          <w:sz w:val="44"/>
          <w:szCs w:val="28"/>
          <w:lang w:eastAsia="zh-CN"/>
        </w:rPr>
        <w:t>平利县</w:t>
      </w:r>
      <w:r>
        <w:rPr>
          <w:rFonts w:hint="eastAsia" w:ascii="黑体" w:hAnsi="黑体" w:eastAsia="黑体" w:cs="黑体"/>
          <w:b/>
          <w:sz w:val="44"/>
          <w:szCs w:val="28"/>
        </w:rPr>
        <w:t>八仙党参种植技术规程</w:t>
      </w:r>
      <w:bookmarkEnd w:id="1"/>
    </w:p>
    <w:p w14:paraId="4C3A8BD1">
      <w:pPr>
        <w:spacing w:before="380" w:after="140" w:line="288" w:lineRule="auto"/>
        <w:ind w:left="0"/>
        <w:jc w:val="center"/>
        <w:outlineLvl w:val="0"/>
        <w:rPr>
          <w:rFonts w:hint="default" w:ascii="宋体" w:hAnsi="宋体" w:eastAsia="宋体" w:cs="宋体"/>
          <w:b w:val="0"/>
          <w:bCs/>
          <w:sz w:val="28"/>
          <w:szCs w:val="28"/>
          <w:lang w:val="en-US" w:eastAsia="zh-CN"/>
        </w:rPr>
      </w:pPr>
      <w:r>
        <w:rPr>
          <w:rFonts w:hint="eastAsia" w:ascii="宋体" w:hAnsi="宋体" w:eastAsia="宋体" w:cs="宋体"/>
          <w:b w:val="0"/>
          <w:bCs/>
          <w:sz w:val="28"/>
          <w:szCs w:val="28"/>
          <w:lang w:eastAsia="zh-CN"/>
        </w:rPr>
        <w:t>（</w:t>
      </w:r>
      <w:r>
        <w:rPr>
          <w:rFonts w:hint="eastAsia" w:ascii="宋体" w:hAnsi="宋体" w:eastAsia="宋体" w:cs="宋体"/>
          <w:b w:val="0"/>
          <w:bCs/>
          <w:sz w:val="28"/>
          <w:szCs w:val="28"/>
          <w:lang w:val="en-US" w:eastAsia="zh-CN"/>
        </w:rPr>
        <w:t>征求意见稿）</w:t>
      </w:r>
    </w:p>
    <w:p w14:paraId="32175653">
      <w:pPr>
        <w:spacing w:before="120" w:after="120" w:line="288" w:lineRule="auto"/>
        <w:ind w:left="0"/>
        <w:jc w:val="center"/>
        <w:rPr>
          <w:rFonts w:hint="eastAsia" w:ascii="宋体" w:hAnsi="宋体" w:eastAsia="宋体" w:cs="宋体"/>
          <w:sz w:val="28"/>
          <w:szCs w:val="28"/>
        </w:rPr>
      </w:pPr>
      <w:r>
        <w:rPr>
          <w:rFonts w:hint="eastAsia" w:ascii="宋体" w:hAnsi="宋体" w:eastAsia="宋体" w:cs="宋体"/>
          <w:sz w:val="28"/>
          <w:szCs w:val="28"/>
        </w:rPr>
        <w:t>（编号：</w:t>
      </w:r>
      <w:r>
        <w:rPr>
          <w:rFonts w:hint="eastAsia" w:ascii="黑体" w:hAnsi="黑体" w:eastAsia="黑体" w:cs="黑体"/>
          <w:sz w:val="28"/>
          <w:szCs w:val="28"/>
        </w:rPr>
        <w:t>T/SZBP</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XXX</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XXXX</w:t>
      </w:r>
      <w:r>
        <w:rPr>
          <w:rFonts w:hint="eastAsia" w:ascii="宋体" w:hAnsi="宋体" w:eastAsia="宋体" w:cs="宋体"/>
          <w:sz w:val="28"/>
          <w:szCs w:val="28"/>
        </w:rPr>
        <w:t>）</w:t>
      </w:r>
    </w:p>
    <w:p w14:paraId="76C266E0">
      <w:pPr>
        <w:spacing w:before="120" w:after="120" w:line="288" w:lineRule="auto"/>
        <w:ind w:left="0"/>
        <w:jc w:val="center"/>
        <w:rPr>
          <w:rFonts w:hint="eastAsia" w:ascii="宋体" w:hAnsi="宋体" w:eastAsia="宋体" w:cs="宋体"/>
          <w:sz w:val="28"/>
          <w:szCs w:val="28"/>
        </w:rPr>
      </w:pPr>
    </w:p>
    <w:p w14:paraId="465E553D">
      <w:pPr>
        <w:spacing w:before="120" w:after="120" w:line="288" w:lineRule="auto"/>
        <w:ind w:left="0"/>
        <w:jc w:val="center"/>
        <w:rPr>
          <w:rFonts w:hint="eastAsia" w:ascii="宋体" w:hAnsi="宋体" w:eastAsia="宋体" w:cs="宋体"/>
          <w:sz w:val="28"/>
          <w:szCs w:val="28"/>
        </w:rPr>
      </w:pPr>
    </w:p>
    <w:p w14:paraId="1EB8C4B9">
      <w:pPr>
        <w:spacing w:before="120" w:after="120" w:line="288" w:lineRule="auto"/>
        <w:ind w:left="0"/>
        <w:jc w:val="center"/>
        <w:rPr>
          <w:rFonts w:hint="eastAsia" w:ascii="宋体" w:hAnsi="宋体" w:eastAsia="宋体" w:cs="宋体"/>
          <w:sz w:val="28"/>
          <w:szCs w:val="28"/>
        </w:rPr>
      </w:pPr>
    </w:p>
    <w:p w14:paraId="450FCE9E">
      <w:pPr>
        <w:spacing w:before="120" w:after="120" w:line="288" w:lineRule="auto"/>
        <w:ind w:left="0"/>
        <w:jc w:val="center"/>
        <w:rPr>
          <w:rFonts w:hint="eastAsia" w:ascii="宋体" w:hAnsi="宋体" w:eastAsia="宋体" w:cs="宋体"/>
          <w:sz w:val="28"/>
          <w:szCs w:val="28"/>
        </w:rPr>
      </w:pPr>
    </w:p>
    <w:p w14:paraId="2B3DE8C4">
      <w:pPr>
        <w:spacing w:before="120" w:after="120" w:line="288" w:lineRule="auto"/>
        <w:ind w:left="0"/>
        <w:jc w:val="both"/>
        <w:rPr>
          <w:rFonts w:hint="eastAsia" w:ascii="宋体" w:hAnsi="宋体" w:eastAsia="宋体" w:cs="宋体"/>
          <w:sz w:val="28"/>
          <w:szCs w:val="28"/>
        </w:rPr>
      </w:pPr>
    </w:p>
    <w:p w14:paraId="75C92D86">
      <w:pPr>
        <w:spacing w:before="120" w:after="120" w:line="288" w:lineRule="auto"/>
        <w:ind w:left="0"/>
        <w:jc w:val="center"/>
        <w:rPr>
          <w:rFonts w:hint="eastAsia" w:ascii="宋体" w:hAnsi="宋体" w:eastAsia="宋体" w:cs="宋体"/>
          <w:sz w:val="28"/>
          <w:szCs w:val="28"/>
        </w:rPr>
      </w:pPr>
    </w:p>
    <w:p w14:paraId="773AC2CC">
      <w:pPr>
        <w:spacing w:before="120" w:after="120" w:line="288" w:lineRule="auto"/>
        <w:ind w:left="0"/>
        <w:jc w:val="both"/>
        <w:rPr>
          <w:rFonts w:hint="eastAsia" w:ascii="宋体" w:hAnsi="宋体" w:eastAsia="宋体" w:cs="宋体"/>
          <w:sz w:val="28"/>
          <w:szCs w:val="28"/>
        </w:rPr>
      </w:pPr>
    </w:p>
    <w:p w14:paraId="7108E57E">
      <w:pPr>
        <w:spacing w:before="120" w:after="120" w:line="288" w:lineRule="auto"/>
        <w:ind w:left="0"/>
        <w:jc w:val="center"/>
        <w:rPr>
          <w:rFonts w:hint="eastAsia" w:ascii="宋体" w:hAnsi="宋体" w:eastAsia="宋体" w:cs="宋体"/>
          <w:sz w:val="28"/>
          <w:szCs w:val="28"/>
        </w:rP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 w:type="dxa"/>
          <w:bottom w:w="0" w:type="dxa"/>
          <w:right w:w="10" w:type="dxa"/>
        </w:tblCellMar>
      </w:tblPr>
      <w:tblGrid>
        <w:gridCol w:w="8280"/>
      </w:tblGrid>
      <w:tr w14:paraId="326FC4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8280" w:type="dxa"/>
            <w:tcBorders>
              <w:top w:val="nil"/>
              <w:left w:val="single" w:color="BBBFC4" w:sz="18" w:space="0"/>
              <w:bottom w:val="nil"/>
              <w:right w:val="nil"/>
            </w:tcBorders>
            <w:tcMar>
              <w:top w:w="60" w:type="dxa"/>
              <w:left w:w="120" w:type="dxa"/>
              <w:bottom w:w="30" w:type="dxa"/>
              <w:right w:w="120" w:type="dxa"/>
            </w:tcMar>
          </w:tcPr>
          <w:p w14:paraId="796D3A5C">
            <w:pPr>
              <w:spacing w:before="120" w:after="120" w:line="288" w:lineRule="auto"/>
              <w:ind w:left="0"/>
              <w:jc w:val="left"/>
              <w:rPr>
                <w:rFonts w:hint="eastAsia" w:ascii="宋体" w:hAnsi="宋体" w:eastAsia="宋体" w:cs="宋体"/>
                <w:color w:val="auto"/>
                <w:sz w:val="28"/>
                <w:szCs w:val="28"/>
              </w:rPr>
            </w:pPr>
            <w:r>
              <w:rPr>
                <w:rFonts w:hint="eastAsia" w:ascii="宋体" w:hAnsi="宋体" w:eastAsia="宋体" w:cs="宋体"/>
                <w:color w:val="auto"/>
                <w:sz w:val="56"/>
                <w:szCs w:val="28"/>
              </w:rPr>
              <w:pict>
                <v:line id="_x0000_s1027" o:spid="_x0000_s1027" o:spt="20" style="position:absolute;left:0pt;margin-left:-6.05pt;margin-top:26.35pt;height:1pt;width:404.05pt;z-index:251661312;mso-width-relative:page;mso-height-relative:page;" filled="f" stroked="t" coordsize="21600,21600" o:gfxdata="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5MNyw1QAAAAYBAAAPAAAAAAAAAAEAIAAAACIAAABkcnMvZG93bnJldi54bWxQSwEC&#10;FAAUAAAACACHTuJA+a+3m/cBAADrAwAADgAAAAAAAAABACAAAAAkAQAAZHJzL2Uyb0RvYy54bWxQ&#10;SwUGAAAAAAYABgBZAQAAjQUAAAAA&#10;">
                  <v:path arrowok="t"/>
                  <v:fill on="f" focussize="0,0"/>
                  <v:stroke color="#000000" joinstyle="round"/>
                  <v:imagedata o:title=""/>
                  <o:lock v:ext="edit" aspectratio="f"/>
                </v:line>
              </w:pict>
            </w:r>
            <w:r>
              <w:rPr>
                <w:rFonts w:hint="eastAsia" w:ascii="宋体" w:hAnsi="宋体" w:eastAsia="宋体" w:cs="宋体"/>
                <w:color w:val="auto"/>
                <w:sz w:val="28"/>
                <w:szCs w:val="28"/>
              </w:rPr>
              <w:t>XXXX‑XX‑XX</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发布</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XXXX‑XX‑XX</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实施</w:t>
            </w:r>
          </w:p>
          <w:p w14:paraId="1B8313EC">
            <w:pPr>
              <w:spacing w:before="120" w:after="120" w:line="288" w:lineRule="auto"/>
              <w:ind w:left="0"/>
              <w:jc w:val="center"/>
              <w:rPr>
                <w:rFonts w:hint="eastAsia" w:ascii="宋体" w:hAnsi="宋体" w:eastAsia="宋体" w:cs="宋体"/>
                <w:color w:val="auto"/>
                <w:sz w:val="24"/>
                <w:szCs w:val="28"/>
              </w:rPr>
            </w:pPr>
            <w:r>
              <w:rPr>
                <w:rFonts w:hint="eastAsia" w:ascii="黑体" w:hAnsi="黑体" w:eastAsia="黑体" w:cs="黑体"/>
                <w:color w:val="auto"/>
                <w:sz w:val="28"/>
                <w:szCs w:val="28"/>
              </w:rPr>
              <w:t>陕西省中药协会</w:t>
            </w:r>
            <w:r>
              <w:rPr>
                <w:rFonts w:hint="eastAsia" w:ascii="黑体" w:hAnsi="黑体" w:eastAsia="黑体" w:cs="黑体"/>
                <w:color w:val="auto"/>
                <w:sz w:val="28"/>
                <w:szCs w:val="28"/>
                <w:lang w:val="en-US" w:eastAsia="zh-CN"/>
              </w:rPr>
              <w:t xml:space="preserve">   </w:t>
            </w:r>
            <w:r>
              <w:rPr>
                <w:rFonts w:hint="eastAsia" w:ascii="黑体" w:hAnsi="黑体" w:eastAsia="黑体" w:cs="黑体"/>
                <w:color w:val="auto"/>
                <w:sz w:val="28"/>
                <w:szCs w:val="28"/>
              </w:rPr>
              <w:t>发布</w:t>
            </w:r>
          </w:p>
        </w:tc>
      </w:tr>
    </w:tbl>
    <w:p w14:paraId="0CC36604">
      <w:pPr>
        <w:spacing w:before="320" w:after="120" w:line="288" w:lineRule="auto"/>
        <w:ind w:left="0"/>
        <w:jc w:val="left"/>
        <w:outlineLvl w:val="1"/>
        <w:rPr>
          <w:rFonts w:hint="eastAsia" w:ascii="黑体" w:hAnsi="黑体" w:eastAsia="黑体" w:cs="黑体"/>
          <w:b/>
          <w:sz w:val="32"/>
          <w:lang w:val="en-US" w:eastAsia="zh-CN"/>
        </w:rPr>
      </w:pPr>
      <w:bookmarkStart w:id="2" w:name="heading_2"/>
      <w:r>
        <w:rPr>
          <w:rFonts w:hint="eastAsia" w:ascii="黑体" w:hAnsi="黑体" w:eastAsia="黑体" w:cs="黑体"/>
          <w:b/>
          <w:sz w:val="32"/>
        </w:rPr>
        <w:t>目 </w:t>
      </w:r>
      <w:bookmarkEnd w:id="2"/>
      <w:r>
        <w:rPr>
          <w:rFonts w:hint="eastAsia" w:ascii="黑体" w:hAnsi="黑体" w:eastAsia="黑体" w:cs="黑体"/>
          <w:b/>
          <w:sz w:val="32"/>
          <w:lang w:eastAsia="zh-CN"/>
        </w:rPr>
        <w:t>录</w:t>
      </w:r>
    </w:p>
    <w:p w14:paraId="780941FD">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outlineLvl w:val="0"/>
        <w:rPr>
          <w:rFonts w:hint="eastAsia" w:ascii="宋体" w:hAnsi="宋体" w:eastAsia="宋体" w:cs="宋体"/>
          <w:sz w:val="24"/>
          <w:szCs w:val="24"/>
        </w:rPr>
      </w:pPr>
      <w:r>
        <w:rPr>
          <w:rFonts w:hint="eastAsia" w:ascii="宋体" w:hAnsi="宋体" w:eastAsia="宋体" w:cs="宋体"/>
          <w:sz w:val="24"/>
          <w:szCs w:val="24"/>
        </w:rPr>
        <w:t>前言</w:t>
      </w:r>
    </w:p>
    <w:p w14:paraId="2E71A22C">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1 范围</w:t>
      </w:r>
    </w:p>
    <w:p w14:paraId="27CFAF88">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2 规范性引用文件</w:t>
      </w:r>
    </w:p>
    <w:p w14:paraId="4B71C301">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3 术语和定义</w:t>
      </w:r>
    </w:p>
    <w:p w14:paraId="7AFFC9C6">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4 保护范围</w:t>
      </w:r>
    </w:p>
    <w:p w14:paraId="6AA3E6A2">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5 产地自然环境</w:t>
      </w:r>
    </w:p>
    <w:p w14:paraId="4555C560">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6 种子与种苗繁育</w:t>
      </w:r>
    </w:p>
    <w:p w14:paraId="60712D36">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7 规范化种植</w:t>
      </w:r>
    </w:p>
    <w:p w14:paraId="2ED42D28">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8 采收与产地初加工</w:t>
      </w:r>
    </w:p>
    <w:p w14:paraId="176497F7">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9 质量要求</w:t>
      </w:r>
    </w:p>
    <w:p w14:paraId="5B42F75B">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10 试验方法</w:t>
      </w:r>
    </w:p>
    <w:p w14:paraId="4746E78E">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11 检验规则</w:t>
      </w:r>
    </w:p>
    <w:p w14:paraId="2A3023AB">
      <w:pPr>
        <w:keepNext w:val="0"/>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4"/>
          <w:szCs w:val="24"/>
        </w:rPr>
      </w:pPr>
      <w:r>
        <w:rPr>
          <w:rFonts w:hint="eastAsia" w:ascii="宋体" w:hAnsi="宋体" w:eastAsia="宋体" w:cs="宋体"/>
          <w:sz w:val="24"/>
          <w:szCs w:val="24"/>
        </w:rPr>
        <w:t>12 标志、包装、运输、贮存</w:t>
      </w:r>
    </w:p>
    <w:p w14:paraId="23FB3519">
      <w:pPr>
        <w:spacing w:before="320" w:after="120" w:line="288" w:lineRule="auto"/>
        <w:ind w:left="0"/>
        <w:jc w:val="left"/>
        <w:outlineLvl w:val="1"/>
        <w:rPr>
          <w:rFonts w:hint="eastAsia" w:ascii="宋体" w:hAnsi="宋体" w:eastAsia="宋体" w:cs="宋体"/>
          <w:b/>
          <w:sz w:val="24"/>
          <w:szCs w:val="24"/>
        </w:rPr>
      </w:pPr>
      <w:bookmarkStart w:id="3" w:name="heading_3"/>
    </w:p>
    <w:p w14:paraId="6A8F5724">
      <w:pPr>
        <w:spacing w:before="320" w:after="120" w:line="288" w:lineRule="auto"/>
        <w:ind w:left="0"/>
        <w:jc w:val="left"/>
        <w:outlineLvl w:val="1"/>
        <w:rPr>
          <w:rFonts w:hint="eastAsia" w:ascii="宋体" w:hAnsi="宋体" w:eastAsia="宋体" w:cs="宋体"/>
          <w:b/>
          <w:sz w:val="32"/>
        </w:rPr>
      </w:pPr>
    </w:p>
    <w:p w14:paraId="17AC4704">
      <w:pPr>
        <w:spacing w:before="320" w:after="120" w:line="288" w:lineRule="auto"/>
        <w:ind w:left="0"/>
        <w:jc w:val="left"/>
        <w:outlineLvl w:val="1"/>
        <w:rPr>
          <w:rFonts w:hint="eastAsia" w:ascii="宋体" w:hAnsi="宋体" w:eastAsia="宋体" w:cs="宋体"/>
          <w:b/>
          <w:sz w:val="32"/>
        </w:rPr>
      </w:pPr>
    </w:p>
    <w:p w14:paraId="7B92D652">
      <w:pPr>
        <w:spacing w:before="320" w:after="120" w:line="288" w:lineRule="auto"/>
        <w:ind w:left="0"/>
        <w:jc w:val="left"/>
        <w:outlineLvl w:val="1"/>
        <w:rPr>
          <w:rFonts w:hint="eastAsia" w:ascii="宋体" w:hAnsi="宋体" w:eastAsia="宋体" w:cs="宋体"/>
          <w:b/>
          <w:sz w:val="32"/>
        </w:rPr>
      </w:pPr>
    </w:p>
    <w:p w14:paraId="36B68A99">
      <w:pPr>
        <w:spacing w:before="320" w:after="120" w:line="288" w:lineRule="auto"/>
        <w:ind w:left="0"/>
        <w:jc w:val="left"/>
        <w:outlineLvl w:val="1"/>
        <w:rPr>
          <w:rFonts w:hint="eastAsia" w:ascii="宋体" w:hAnsi="宋体" w:eastAsia="宋体" w:cs="宋体"/>
          <w:b/>
          <w:sz w:val="32"/>
        </w:rPr>
      </w:pPr>
    </w:p>
    <w:p w14:paraId="15DAA100">
      <w:pPr>
        <w:spacing w:before="320" w:after="120" w:line="288" w:lineRule="auto"/>
        <w:ind w:left="0"/>
        <w:jc w:val="left"/>
        <w:outlineLvl w:val="1"/>
        <w:rPr>
          <w:rFonts w:hint="eastAsia" w:ascii="宋体" w:hAnsi="宋体" w:eastAsia="宋体" w:cs="宋体"/>
          <w:b/>
          <w:sz w:val="32"/>
        </w:rPr>
      </w:pPr>
    </w:p>
    <w:p w14:paraId="6FF95CC4">
      <w:pPr>
        <w:spacing w:before="320" w:after="120" w:line="288" w:lineRule="auto"/>
        <w:ind w:left="0"/>
        <w:jc w:val="left"/>
        <w:outlineLvl w:val="1"/>
        <w:rPr>
          <w:rFonts w:hint="eastAsia" w:ascii="宋体" w:hAnsi="宋体" w:eastAsia="宋体" w:cs="宋体"/>
          <w:b/>
          <w:sz w:val="32"/>
        </w:rPr>
      </w:pPr>
    </w:p>
    <w:p w14:paraId="0AEF6835">
      <w:pPr>
        <w:spacing w:before="320" w:after="120" w:line="288" w:lineRule="auto"/>
        <w:ind w:left="0"/>
        <w:jc w:val="left"/>
        <w:outlineLvl w:val="1"/>
        <w:rPr>
          <w:rFonts w:hint="eastAsia" w:ascii="宋体" w:hAnsi="宋体" w:eastAsia="宋体" w:cs="宋体"/>
          <w:b/>
          <w:sz w:val="32"/>
        </w:rPr>
      </w:pPr>
    </w:p>
    <w:p w14:paraId="34D0597D">
      <w:pPr>
        <w:spacing w:before="320" w:after="120" w:line="288" w:lineRule="auto"/>
        <w:ind w:left="0"/>
        <w:jc w:val="both"/>
        <w:outlineLvl w:val="1"/>
        <w:rPr>
          <w:rFonts w:hint="eastAsia" w:ascii="宋体" w:hAnsi="宋体" w:eastAsia="宋体" w:cs="宋体"/>
        </w:rPr>
      </w:pPr>
      <w:r>
        <w:rPr>
          <w:rFonts w:hint="eastAsia" w:ascii="宋体" w:hAnsi="宋体" w:eastAsia="宋体" w:cs="宋体"/>
          <w:b/>
          <w:sz w:val="32"/>
        </w:rPr>
        <w:t>前 言</w:t>
      </w:r>
      <w:bookmarkEnd w:id="3"/>
    </w:p>
    <w:p w14:paraId="5C171EC5">
      <w:pPr>
        <w:keepNext w:val="0"/>
        <w:keepLines w:val="0"/>
        <w:pageBreakBefore w:val="0"/>
        <w:widowControl w:val="0"/>
        <w:kinsoku/>
        <w:wordWrap/>
        <w:overflowPunct/>
        <w:topLinePunct w:val="0"/>
        <w:autoSpaceDE/>
        <w:autoSpaceDN/>
        <w:bidi w:val="0"/>
        <w:adjustRightInd/>
        <w:snapToGrid/>
        <w:spacing w:before="120" w:after="120" w:line="288"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本文件按照GB/T 1.1</w:t>
      </w:r>
      <w:r>
        <w:rPr>
          <w:rFonts w:hint="eastAsia" w:ascii="宋体" w:hAnsi="宋体" w:eastAsia="宋体" w:cs="宋体"/>
          <w:sz w:val="24"/>
          <w:szCs w:val="24"/>
          <w:lang w:val="en-US" w:eastAsia="zh-CN"/>
        </w:rPr>
        <w:t>-</w:t>
      </w:r>
      <w:r>
        <w:rPr>
          <w:rFonts w:hint="eastAsia" w:ascii="宋体" w:hAnsi="宋体" w:eastAsia="宋体" w:cs="宋体"/>
          <w:sz w:val="24"/>
          <w:szCs w:val="24"/>
        </w:rPr>
        <w:t>2020《标准化工作导则第1部分：标准化文件的结构和起草规则》、GB/T 17924《地理标志产品标准通用要求》的规定起草。</w:t>
      </w:r>
    </w:p>
    <w:p w14:paraId="330B0DC7">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请注意本文件的某些内容可能涉及专利。本文件的发布机构不承担识别这些专利的责任。</w:t>
      </w:r>
    </w:p>
    <w:p w14:paraId="6A3FB1EC">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本文件由平利县农业技术推广站提出。</w:t>
      </w:r>
    </w:p>
    <w:p w14:paraId="6329D1BF">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本文件由陕西省中药协会归口。</w:t>
      </w:r>
    </w:p>
    <w:p w14:paraId="1654FEA6">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本文件起草单位：平利县农业技术推广站、安康达诚合美农林发展有限公司</w:t>
      </w:r>
      <w:r>
        <w:rPr>
          <w:rFonts w:hint="eastAsia" w:ascii="宋体" w:hAnsi="宋体" w:eastAsia="宋体" w:cs="宋体"/>
          <w:sz w:val="24"/>
          <w:szCs w:val="24"/>
          <w:lang w:eastAsia="zh-CN"/>
        </w:rPr>
        <w:t>、平利县管佳坪农林发展有限公司</w:t>
      </w:r>
      <w:r>
        <w:rPr>
          <w:rFonts w:hint="eastAsia" w:ascii="宋体" w:hAnsi="宋体" w:eastAsia="宋体" w:cs="宋体"/>
          <w:sz w:val="24"/>
          <w:szCs w:val="24"/>
        </w:rPr>
        <w:t>。</w:t>
      </w:r>
    </w:p>
    <w:p w14:paraId="3B7DD7CE">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本文件主要起草人：李世斌、金德珍、胡娟、</w:t>
      </w:r>
      <w:r>
        <w:rPr>
          <w:rFonts w:hint="eastAsia" w:ascii="宋体" w:hAnsi="宋体" w:eastAsia="宋体" w:cs="宋体"/>
          <w:sz w:val="24"/>
          <w:szCs w:val="24"/>
          <w:lang w:val="en-US" w:eastAsia="zh-CN"/>
        </w:rPr>
        <w:t>李云、</w:t>
      </w:r>
      <w:r>
        <w:rPr>
          <w:rFonts w:hint="eastAsia" w:ascii="宋体" w:hAnsi="宋体" w:eastAsia="宋体" w:cs="宋体"/>
          <w:sz w:val="24"/>
          <w:szCs w:val="24"/>
        </w:rPr>
        <w:t>王贤山</w:t>
      </w:r>
      <w:r>
        <w:rPr>
          <w:rFonts w:hint="eastAsia" w:ascii="宋体" w:hAnsi="宋体" w:eastAsia="宋体" w:cs="宋体"/>
          <w:sz w:val="24"/>
          <w:szCs w:val="24"/>
          <w:lang w:eastAsia="zh-CN"/>
        </w:rPr>
        <w:t>、</w:t>
      </w:r>
      <w:r>
        <w:rPr>
          <w:rFonts w:hint="eastAsia" w:ascii="宋体" w:hAnsi="宋体" w:eastAsia="宋体" w:cs="宋体"/>
          <w:sz w:val="24"/>
          <w:szCs w:val="24"/>
        </w:rPr>
        <w:t>崔世耀、柯华、朱立炎、李辉平、汪小勇、刘汉平、</w:t>
      </w:r>
      <w:r>
        <w:rPr>
          <w:rFonts w:hint="eastAsia" w:ascii="宋体" w:hAnsi="宋体" w:eastAsia="宋体" w:cs="宋体"/>
          <w:sz w:val="24"/>
          <w:szCs w:val="24"/>
          <w:lang w:eastAsia="zh-CN"/>
        </w:rPr>
        <w:t>付官炎、</w:t>
      </w:r>
      <w:r>
        <w:rPr>
          <w:rFonts w:hint="eastAsia" w:ascii="宋体" w:hAnsi="宋体" w:eastAsia="宋体" w:cs="宋体"/>
          <w:sz w:val="24"/>
          <w:szCs w:val="24"/>
        </w:rPr>
        <w:t>刘霞、洪静、康成军、</w:t>
      </w:r>
      <w:r>
        <w:rPr>
          <w:rFonts w:hint="eastAsia" w:ascii="宋体" w:hAnsi="宋体" w:eastAsia="宋体" w:cs="宋体"/>
          <w:sz w:val="24"/>
          <w:szCs w:val="24"/>
          <w:lang w:eastAsia="zh-CN"/>
        </w:rPr>
        <w:t>李瑞安、王会杰、孙鹏、李瑾、</w:t>
      </w:r>
      <w:r>
        <w:rPr>
          <w:rFonts w:hint="eastAsia" w:ascii="宋体" w:hAnsi="宋体" w:eastAsia="宋体" w:cs="宋体"/>
          <w:sz w:val="24"/>
          <w:szCs w:val="24"/>
        </w:rPr>
        <w:t>张鹏</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张椿甜、牛小芬</w:t>
      </w:r>
      <w:r>
        <w:rPr>
          <w:rFonts w:hint="eastAsia" w:ascii="宋体" w:hAnsi="宋体" w:eastAsia="宋体" w:cs="宋体"/>
          <w:sz w:val="24"/>
          <w:szCs w:val="24"/>
        </w:rPr>
        <w:t>。</w:t>
      </w:r>
    </w:p>
    <w:p w14:paraId="451321A7">
      <w:pPr>
        <w:spacing w:before="320" w:after="120" w:line="288" w:lineRule="auto"/>
        <w:ind w:left="0"/>
        <w:jc w:val="left"/>
        <w:outlineLvl w:val="1"/>
        <w:rPr>
          <w:rFonts w:hint="eastAsia" w:ascii="宋体" w:hAnsi="宋体" w:eastAsia="宋体" w:cs="宋体"/>
          <w:b/>
          <w:sz w:val="24"/>
          <w:szCs w:val="24"/>
        </w:rPr>
      </w:pPr>
      <w:bookmarkStart w:id="4" w:name="heading_4"/>
    </w:p>
    <w:p w14:paraId="3CA11A43">
      <w:pPr>
        <w:spacing w:before="320" w:after="120" w:line="288" w:lineRule="auto"/>
        <w:ind w:left="0"/>
        <w:jc w:val="left"/>
        <w:outlineLvl w:val="1"/>
        <w:rPr>
          <w:rFonts w:hint="eastAsia" w:ascii="宋体" w:hAnsi="宋体" w:eastAsia="宋体" w:cs="宋体"/>
          <w:b/>
          <w:sz w:val="32"/>
        </w:rPr>
      </w:pPr>
    </w:p>
    <w:p w14:paraId="1873C046">
      <w:pPr>
        <w:spacing w:before="320" w:after="120" w:line="288" w:lineRule="auto"/>
        <w:ind w:left="0"/>
        <w:jc w:val="left"/>
        <w:outlineLvl w:val="1"/>
        <w:rPr>
          <w:rFonts w:hint="eastAsia" w:ascii="宋体" w:hAnsi="宋体" w:eastAsia="宋体" w:cs="宋体"/>
          <w:b/>
          <w:sz w:val="32"/>
        </w:rPr>
      </w:pPr>
    </w:p>
    <w:p w14:paraId="6867CFFA">
      <w:pPr>
        <w:spacing w:before="320" w:after="120" w:line="288" w:lineRule="auto"/>
        <w:ind w:left="0"/>
        <w:jc w:val="left"/>
        <w:outlineLvl w:val="1"/>
        <w:rPr>
          <w:rFonts w:hint="eastAsia" w:ascii="宋体" w:hAnsi="宋体" w:eastAsia="宋体" w:cs="宋体"/>
          <w:b/>
          <w:sz w:val="32"/>
        </w:rPr>
      </w:pPr>
    </w:p>
    <w:p w14:paraId="5AE84BED">
      <w:pPr>
        <w:spacing w:before="320" w:after="120" w:line="288" w:lineRule="auto"/>
        <w:ind w:left="0"/>
        <w:jc w:val="left"/>
        <w:outlineLvl w:val="1"/>
        <w:rPr>
          <w:rFonts w:hint="eastAsia" w:ascii="宋体" w:hAnsi="宋体" w:eastAsia="宋体" w:cs="宋体"/>
          <w:b/>
          <w:sz w:val="32"/>
        </w:rPr>
      </w:pPr>
    </w:p>
    <w:p w14:paraId="40140A99">
      <w:pPr>
        <w:spacing w:before="320" w:after="120" w:line="288" w:lineRule="auto"/>
        <w:ind w:left="0"/>
        <w:jc w:val="left"/>
        <w:outlineLvl w:val="1"/>
        <w:rPr>
          <w:rFonts w:hint="eastAsia" w:ascii="宋体" w:hAnsi="宋体" w:eastAsia="宋体" w:cs="宋体"/>
          <w:b/>
          <w:sz w:val="32"/>
        </w:rPr>
      </w:pPr>
    </w:p>
    <w:p w14:paraId="3BD03A47">
      <w:pPr>
        <w:spacing w:before="320" w:after="120" w:line="288" w:lineRule="auto"/>
        <w:ind w:left="0"/>
        <w:jc w:val="left"/>
        <w:outlineLvl w:val="1"/>
        <w:rPr>
          <w:rFonts w:hint="eastAsia" w:ascii="宋体" w:hAnsi="宋体" w:eastAsia="宋体" w:cs="宋体"/>
          <w:b/>
          <w:sz w:val="32"/>
        </w:rPr>
      </w:pPr>
    </w:p>
    <w:p w14:paraId="3D46E2B6">
      <w:pPr>
        <w:spacing w:before="320" w:after="120" w:line="288" w:lineRule="auto"/>
        <w:ind w:left="0"/>
        <w:jc w:val="left"/>
        <w:outlineLvl w:val="1"/>
        <w:rPr>
          <w:rFonts w:hint="eastAsia" w:ascii="宋体" w:hAnsi="宋体" w:eastAsia="宋体" w:cs="宋体"/>
          <w:b/>
          <w:sz w:val="32"/>
        </w:rPr>
      </w:pPr>
    </w:p>
    <w:p w14:paraId="54AC37D0">
      <w:pPr>
        <w:spacing w:before="320" w:after="120" w:line="288" w:lineRule="auto"/>
        <w:ind w:left="0"/>
        <w:jc w:val="left"/>
        <w:outlineLvl w:val="1"/>
        <w:rPr>
          <w:rFonts w:hint="eastAsia" w:ascii="宋体" w:hAnsi="宋体" w:eastAsia="宋体" w:cs="宋体"/>
          <w:b/>
          <w:sz w:val="32"/>
        </w:rPr>
      </w:pPr>
    </w:p>
    <w:p w14:paraId="3B3ED33B">
      <w:pPr>
        <w:spacing w:before="320" w:after="120" w:line="288" w:lineRule="auto"/>
        <w:ind w:left="0"/>
        <w:jc w:val="left"/>
        <w:outlineLvl w:val="1"/>
        <w:rPr>
          <w:rFonts w:hint="eastAsia" w:ascii="宋体" w:hAnsi="宋体" w:eastAsia="宋体" w:cs="宋体"/>
          <w:b/>
          <w:sz w:val="32"/>
        </w:rPr>
      </w:pPr>
    </w:p>
    <w:p w14:paraId="7396F170">
      <w:pPr>
        <w:spacing w:before="380" w:after="140" w:line="288" w:lineRule="auto"/>
        <w:ind w:left="0"/>
        <w:jc w:val="center"/>
        <w:outlineLvl w:val="0"/>
        <w:rPr>
          <w:rFonts w:hint="eastAsia" w:ascii="黑体" w:hAnsi="黑体" w:eastAsia="黑体" w:cs="黑体"/>
          <w:b w:val="0"/>
          <w:bCs/>
          <w:sz w:val="32"/>
          <w:szCs w:val="32"/>
        </w:rPr>
      </w:pPr>
      <w:r>
        <w:rPr>
          <w:rFonts w:hint="eastAsia" w:ascii="黑体" w:hAnsi="黑体" w:eastAsia="黑体" w:cs="黑体"/>
          <w:b w:val="0"/>
          <w:bCs/>
          <w:sz w:val="32"/>
          <w:szCs w:val="32"/>
          <w:lang w:eastAsia="zh-CN"/>
        </w:rPr>
        <w:t>平利县</w:t>
      </w:r>
      <w:r>
        <w:rPr>
          <w:rFonts w:hint="eastAsia" w:ascii="黑体" w:hAnsi="黑体" w:eastAsia="黑体" w:cs="黑体"/>
          <w:b w:val="0"/>
          <w:bCs/>
          <w:sz w:val="32"/>
          <w:szCs w:val="32"/>
        </w:rPr>
        <w:t>八仙党参种植技术规程</w:t>
      </w:r>
    </w:p>
    <w:p w14:paraId="2EA13A1B">
      <w:pPr>
        <w:spacing w:before="320" w:after="120" w:line="288" w:lineRule="auto"/>
        <w:ind w:left="0"/>
        <w:jc w:val="left"/>
        <w:outlineLvl w:val="1"/>
        <w:rPr>
          <w:rFonts w:hint="eastAsia" w:ascii="黑体" w:hAnsi="黑体" w:eastAsia="黑体" w:cs="黑体"/>
          <w:sz w:val="24"/>
          <w:szCs w:val="24"/>
        </w:rPr>
      </w:pPr>
      <w:r>
        <w:rPr>
          <w:rFonts w:hint="eastAsia" w:ascii="黑体" w:hAnsi="黑体" w:eastAsia="黑体" w:cs="黑体"/>
          <w:b/>
          <w:sz w:val="24"/>
          <w:szCs w:val="24"/>
        </w:rPr>
        <w:t>1 范围</w:t>
      </w:r>
      <w:bookmarkEnd w:id="4"/>
    </w:p>
    <w:p w14:paraId="3301A859">
      <w:pPr>
        <w:keepNext w:val="0"/>
        <w:keepLines w:val="0"/>
        <w:pageBreakBefore w:val="0"/>
        <w:widowControl w:val="0"/>
        <w:kinsoku/>
        <w:wordWrap/>
        <w:overflowPunct/>
        <w:topLinePunct w:val="0"/>
        <w:autoSpaceDE/>
        <w:autoSpaceDN/>
        <w:bidi w:val="0"/>
        <w:adjustRightInd/>
        <w:snapToGrid/>
        <w:spacing w:before="120" w:after="120" w:line="288" w:lineRule="auto"/>
        <w:ind w:lef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本文件规定了</w:t>
      </w:r>
      <w:r>
        <w:rPr>
          <w:rFonts w:hint="eastAsia" w:ascii="宋体" w:hAnsi="宋体" w:eastAsia="宋体" w:cs="宋体"/>
          <w:sz w:val="24"/>
          <w:szCs w:val="24"/>
          <w:highlight w:val="none"/>
          <w:lang w:eastAsia="zh-CN"/>
        </w:rPr>
        <w:t>平利县</w:t>
      </w:r>
      <w:r>
        <w:rPr>
          <w:rFonts w:hint="eastAsia" w:ascii="宋体" w:hAnsi="宋体" w:eastAsia="宋体" w:cs="宋体"/>
          <w:sz w:val="24"/>
          <w:szCs w:val="24"/>
          <w:highlight w:val="none"/>
        </w:rPr>
        <w:t>八仙党参种植技术规程</w:t>
      </w:r>
      <w:r>
        <w:rPr>
          <w:rFonts w:hint="eastAsia" w:ascii="宋体" w:hAnsi="宋体" w:eastAsia="宋体" w:cs="宋体"/>
          <w:sz w:val="24"/>
          <w:szCs w:val="24"/>
          <w:highlight w:val="none"/>
          <w:lang w:val="en-US" w:eastAsia="zh-CN"/>
        </w:rPr>
        <w:t>的术语和定义</w:t>
      </w:r>
      <w:r>
        <w:rPr>
          <w:rFonts w:hint="eastAsia" w:ascii="宋体" w:hAnsi="宋体" w:eastAsia="宋体" w:cs="宋体"/>
          <w:sz w:val="24"/>
          <w:szCs w:val="24"/>
          <w:highlight w:val="none"/>
        </w:rPr>
        <w:t>、产地自然环境、种子与种苗繁育、规范化种植、采收与产地初加工、质量要求、试验方法、检验规则、标志、包装、运输和贮存。</w:t>
      </w:r>
    </w:p>
    <w:p w14:paraId="3B7D0599">
      <w:pPr>
        <w:keepNext w:val="0"/>
        <w:keepLines w:val="0"/>
        <w:pageBreakBefore w:val="0"/>
        <w:widowControl w:val="0"/>
        <w:kinsoku/>
        <w:wordWrap/>
        <w:overflowPunct/>
        <w:topLinePunct w:val="0"/>
        <w:autoSpaceDE/>
        <w:autoSpaceDN/>
        <w:bidi w:val="0"/>
        <w:adjustRightInd/>
        <w:snapToGrid/>
        <w:spacing w:before="120" w:after="120" w:line="288" w:lineRule="auto"/>
        <w:ind w:lef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本文件</w:t>
      </w:r>
      <w:r>
        <w:rPr>
          <w:rFonts w:hint="eastAsia" w:ascii="宋体" w:hAnsi="宋体" w:eastAsia="宋体" w:cs="宋体"/>
          <w:sz w:val="24"/>
          <w:szCs w:val="24"/>
          <w:highlight w:val="none"/>
          <w:lang w:val="en-US" w:eastAsia="zh-CN"/>
        </w:rPr>
        <w:t>适用于以平利县八仙镇为核心、及周边正阳镇、洛河镇、广佛镇、镇坪县适宜种植区域的党参栽培</w:t>
      </w:r>
      <w:r>
        <w:rPr>
          <w:rFonts w:hint="eastAsia" w:ascii="宋体" w:hAnsi="宋体" w:eastAsia="宋体" w:cs="宋体"/>
          <w:sz w:val="24"/>
          <w:szCs w:val="24"/>
          <w:highlight w:val="none"/>
        </w:rPr>
        <w:t>。</w:t>
      </w:r>
    </w:p>
    <w:p w14:paraId="626CA979">
      <w:pPr>
        <w:spacing w:before="320" w:after="120" w:line="288" w:lineRule="auto"/>
        <w:ind w:left="0"/>
        <w:jc w:val="left"/>
        <w:outlineLvl w:val="1"/>
        <w:rPr>
          <w:rFonts w:hint="eastAsia" w:ascii="宋体" w:hAnsi="宋体" w:eastAsia="宋体" w:cs="宋体"/>
          <w:sz w:val="24"/>
          <w:szCs w:val="24"/>
        </w:rPr>
      </w:pPr>
      <w:bookmarkStart w:id="5" w:name="heading_5"/>
      <w:r>
        <w:rPr>
          <w:rFonts w:hint="eastAsia" w:ascii="宋体" w:hAnsi="宋体" w:eastAsia="宋体" w:cs="宋体"/>
          <w:b/>
          <w:sz w:val="24"/>
          <w:szCs w:val="24"/>
        </w:rPr>
        <w:t>2 规范性引用文件</w:t>
      </w:r>
      <w:bookmarkEnd w:id="5"/>
    </w:p>
    <w:p w14:paraId="0A44617E">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0BDE5ED">
      <w:pPr>
        <w:spacing w:before="120" w:after="120" w:line="288" w:lineRule="auto"/>
        <w:ind w:left="0"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GB/T 1.1</w:t>
      </w:r>
      <w:r>
        <w:rPr>
          <w:rFonts w:hint="eastAsia" w:ascii="宋体" w:hAnsi="宋体" w:eastAsia="宋体" w:cs="宋体"/>
          <w:sz w:val="24"/>
          <w:szCs w:val="24"/>
          <w:lang w:val="en-US" w:eastAsia="zh-CN"/>
        </w:rPr>
        <w:t>-</w:t>
      </w:r>
      <w:r>
        <w:rPr>
          <w:rFonts w:hint="eastAsia" w:ascii="宋体" w:hAnsi="宋体" w:eastAsia="宋体" w:cs="宋体"/>
          <w:sz w:val="24"/>
          <w:szCs w:val="24"/>
        </w:rPr>
        <w:t>2020</w:t>
      </w:r>
      <w:r>
        <w:rPr>
          <w:rFonts w:hint="eastAsia" w:ascii="宋体" w:hAnsi="宋体" w:eastAsia="宋体" w:cs="宋体"/>
          <w:sz w:val="24"/>
          <w:szCs w:val="24"/>
          <w:lang w:val="en-US" w:eastAsia="zh-CN"/>
        </w:rPr>
        <w:t>《</w:t>
      </w:r>
      <w:r>
        <w:rPr>
          <w:rFonts w:hint="eastAsia" w:ascii="宋体" w:hAnsi="宋体" w:eastAsia="宋体" w:cs="宋体"/>
          <w:sz w:val="24"/>
          <w:szCs w:val="24"/>
        </w:rPr>
        <w:t>标准化工作导则</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第1部分：标准化文件的结构和起草规则</w:t>
      </w:r>
      <w:r>
        <w:rPr>
          <w:rFonts w:hint="eastAsia" w:ascii="宋体" w:hAnsi="宋体" w:eastAsia="宋体" w:cs="宋体"/>
          <w:sz w:val="24"/>
          <w:szCs w:val="24"/>
          <w:lang w:eastAsia="zh-CN"/>
        </w:rPr>
        <w:t>》</w:t>
      </w:r>
    </w:p>
    <w:p w14:paraId="14E022EA">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GB/T 17924 地理标志产品标准通用要求</w:t>
      </w:r>
    </w:p>
    <w:p w14:paraId="77D2EA5C">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GB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3095 环境空气质量标准</w:t>
      </w:r>
    </w:p>
    <w:p w14:paraId="5E90BD2A">
      <w:pPr>
        <w:tabs>
          <w:tab w:val="left" w:pos="363"/>
        </w:tabs>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GB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5084 农田灌溉水质标准</w:t>
      </w:r>
    </w:p>
    <w:p w14:paraId="572ECC56">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GB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15618 土壤环境质量</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农用地土壤污染风险管控标准（试行）</w:t>
      </w:r>
    </w:p>
    <w:p w14:paraId="2617705F">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GB/T 8321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农药合理使用准则</w:t>
      </w:r>
    </w:p>
    <w:p w14:paraId="24A999E2">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NY/T 496 肥料合理使用准则</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通则</w:t>
      </w:r>
    </w:p>
    <w:p w14:paraId="31A7BC29">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NY/T 1276 农药安全使用规范</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总则</w:t>
      </w:r>
    </w:p>
    <w:p w14:paraId="4AD7D81A">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《中华人民共和国药典》2025年版（一部、四部）</w:t>
      </w:r>
    </w:p>
    <w:p w14:paraId="77AFB807">
      <w:pPr>
        <w:spacing w:before="320" w:after="120" w:line="288" w:lineRule="auto"/>
        <w:ind w:left="0"/>
        <w:jc w:val="left"/>
        <w:outlineLvl w:val="1"/>
        <w:rPr>
          <w:rFonts w:hint="eastAsia" w:ascii="宋体" w:hAnsi="宋体" w:eastAsia="宋体" w:cs="宋体"/>
          <w:sz w:val="24"/>
          <w:szCs w:val="24"/>
        </w:rPr>
      </w:pPr>
      <w:bookmarkStart w:id="6" w:name="heading_6"/>
      <w:r>
        <w:rPr>
          <w:rFonts w:hint="eastAsia" w:ascii="宋体" w:hAnsi="宋体" w:eastAsia="宋体" w:cs="宋体"/>
          <w:b/>
          <w:sz w:val="24"/>
          <w:szCs w:val="24"/>
        </w:rPr>
        <w:t>3 术语和定义</w:t>
      </w:r>
      <w:bookmarkEnd w:id="6"/>
    </w:p>
    <w:p w14:paraId="3AFCD8D1">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下列术语和定义适用于本文件。</w:t>
      </w:r>
    </w:p>
    <w:p w14:paraId="44D5C625">
      <w:pPr>
        <w:spacing w:before="300" w:after="120" w:line="288" w:lineRule="auto"/>
        <w:ind w:left="0"/>
        <w:jc w:val="left"/>
        <w:outlineLvl w:val="2"/>
        <w:rPr>
          <w:rFonts w:hint="eastAsia" w:ascii="宋体" w:hAnsi="宋体" w:eastAsia="宋体" w:cs="宋体"/>
          <w:b/>
          <w:sz w:val="24"/>
          <w:szCs w:val="24"/>
        </w:rPr>
      </w:pPr>
      <w:bookmarkStart w:id="7" w:name="heading_7"/>
      <w:r>
        <w:rPr>
          <w:rFonts w:hint="eastAsia" w:ascii="宋体" w:hAnsi="宋体" w:eastAsia="宋体" w:cs="宋体"/>
          <w:b/>
          <w:sz w:val="24"/>
          <w:szCs w:val="24"/>
        </w:rPr>
        <w:t>3.1 八仙党参 Baxian Codonopsis</w:t>
      </w:r>
      <w:bookmarkEnd w:id="7"/>
    </w:p>
    <w:p w14:paraId="5B2CC49F">
      <w:pPr>
        <w:keepNext w:val="0"/>
        <w:keepLines w:val="0"/>
        <w:pageBreakBefore w:val="0"/>
        <w:widowControl w:val="0"/>
        <w:kinsoku/>
        <w:wordWrap/>
        <w:overflowPunct/>
        <w:topLinePunct w:val="0"/>
        <w:autoSpaceDE/>
        <w:autoSpaceDN/>
        <w:bidi w:val="0"/>
        <w:adjustRightInd/>
        <w:snapToGrid/>
        <w:spacing w:before="300" w:after="120" w:line="288" w:lineRule="auto"/>
        <w:ind w:left="0" w:firstLine="480" w:firstLineChars="200"/>
        <w:jc w:val="left"/>
        <w:textAlignment w:val="auto"/>
        <w:outlineLvl w:val="2"/>
        <w:rPr>
          <w:rFonts w:hint="eastAsia" w:ascii="宋体" w:hAnsi="宋体" w:eastAsia="宋体" w:cs="宋体"/>
          <w:sz w:val="24"/>
          <w:szCs w:val="24"/>
        </w:rPr>
      </w:pPr>
      <w:r>
        <w:rPr>
          <w:rFonts w:hint="eastAsia" w:ascii="宋体" w:hAnsi="宋体" w:eastAsia="宋体" w:cs="宋体"/>
          <w:sz w:val="24"/>
          <w:szCs w:val="24"/>
        </w:rPr>
        <w:t>在本文件第4章规定</w:t>
      </w:r>
      <w:r>
        <w:rPr>
          <w:rFonts w:hint="eastAsia" w:ascii="宋体" w:hAnsi="宋体" w:eastAsia="宋体" w:cs="宋体"/>
          <w:sz w:val="24"/>
          <w:szCs w:val="24"/>
          <w:lang w:eastAsia="zh-CN"/>
        </w:rPr>
        <w:t>适用范围</w:t>
      </w:r>
      <w:r>
        <w:rPr>
          <w:rFonts w:hint="eastAsia" w:ascii="宋体" w:hAnsi="宋体" w:eastAsia="宋体" w:cs="宋体"/>
          <w:sz w:val="24"/>
          <w:szCs w:val="24"/>
        </w:rPr>
        <w:t>内，以桔梗科植物川党参（</w:t>
      </w:r>
      <w:r>
        <w:rPr>
          <w:rFonts w:hint="eastAsia" w:ascii="宋体" w:hAnsi="宋体" w:eastAsia="宋体" w:cs="宋体"/>
          <w:i/>
          <w:sz w:val="24"/>
          <w:szCs w:val="24"/>
        </w:rPr>
        <w:t>Codonopsis tangshen</w:t>
      </w:r>
      <w:r>
        <w:rPr>
          <w:rFonts w:hint="eastAsia" w:ascii="宋体" w:hAnsi="宋体" w:eastAsia="宋体" w:cs="宋体"/>
          <w:sz w:val="24"/>
          <w:szCs w:val="24"/>
        </w:rPr>
        <w:t xml:space="preserve"> Oliv.）为基原，经化龙山本地长期驯化选育（化龙1号、化龙2号），按本文件种植、采收、加工得到的干燥根。具有狮子盘头大、菊花心明显，香气浓郁，味甘甜的道地性状。</w:t>
      </w:r>
    </w:p>
    <w:p w14:paraId="3C133ACE">
      <w:pPr>
        <w:spacing w:before="300" w:after="120" w:line="288" w:lineRule="auto"/>
        <w:ind w:left="0"/>
        <w:jc w:val="left"/>
        <w:outlineLvl w:val="2"/>
        <w:rPr>
          <w:rFonts w:hint="eastAsia" w:ascii="宋体" w:hAnsi="宋体" w:eastAsia="宋体" w:cs="宋体"/>
          <w:b/>
          <w:sz w:val="24"/>
          <w:szCs w:val="24"/>
        </w:rPr>
      </w:pPr>
      <w:bookmarkStart w:id="8" w:name="heading_8"/>
      <w:r>
        <w:rPr>
          <w:rFonts w:hint="eastAsia" w:ascii="宋体" w:hAnsi="宋体" w:eastAsia="宋体" w:cs="宋体"/>
          <w:b/>
          <w:sz w:val="24"/>
          <w:szCs w:val="24"/>
        </w:rPr>
        <w:t>3.2 化龙1号Hualong No.1（优质型）</w:t>
      </w:r>
      <w:bookmarkEnd w:id="8"/>
    </w:p>
    <w:p w14:paraId="5BF6CB97">
      <w:pPr>
        <w:keepNext w:val="0"/>
        <w:keepLines w:val="0"/>
        <w:pageBreakBefore w:val="0"/>
        <w:widowControl w:val="0"/>
        <w:kinsoku/>
        <w:wordWrap/>
        <w:overflowPunct/>
        <w:topLinePunct w:val="0"/>
        <w:autoSpaceDE/>
        <w:autoSpaceDN/>
        <w:bidi w:val="0"/>
        <w:adjustRightInd/>
        <w:snapToGrid/>
        <w:spacing w:before="300" w:after="120" w:line="288" w:lineRule="auto"/>
        <w:ind w:left="0" w:firstLine="480" w:firstLineChars="200"/>
        <w:jc w:val="left"/>
        <w:textAlignment w:val="auto"/>
        <w:outlineLvl w:val="2"/>
        <w:rPr>
          <w:rFonts w:hint="eastAsia" w:ascii="宋体" w:hAnsi="宋体" w:eastAsia="宋体" w:cs="宋体"/>
          <w:sz w:val="24"/>
          <w:szCs w:val="24"/>
        </w:rPr>
      </w:pPr>
      <w:r>
        <w:rPr>
          <w:rFonts w:hint="eastAsia" w:ascii="宋体" w:hAnsi="宋体" w:eastAsia="宋体" w:cs="宋体"/>
          <w:sz w:val="24"/>
          <w:szCs w:val="24"/>
        </w:rPr>
        <w:t>化龙山野生川党参种子繁育选育品系。主根修长，分叉少，表皮色泽均匀，适合优质药材生产。</w:t>
      </w:r>
    </w:p>
    <w:p w14:paraId="364F3003">
      <w:pPr>
        <w:spacing w:before="300" w:after="120" w:line="288" w:lineRule="auto"/>
        <w:ind w:left="0"/>
        <w:jc w:val="left"/>
        <w:outlineLvl w:val="2"/>
        <w:rPr>
          <w:rFonts w:hint="eastAsia" w:ascii="宋体" w:hAnsi="宋体" w:eastAsia="宋体" w:cs="宋体"/>
          <w:b/>
          <w:sz w:val="24"/>
          <w:szCs w:val="24"/>
        </w:rPr>
      </w:pPr>
      <w:bookmarkStart w:id="9" w:name="heading_9"/>
      <w:r>
        <w:rPr>
          <w:rFonts w:hint="eastAsia" w:ascii="宋体" w:hAnsi="宋体" w:eastAsia="宋体" w:cs="宋体"/>
          <w:b/>
          <w:sz w:val="24"/>
          <w:szCs w:val="24"/>
        </w:rPr>
        <w:t>3.3 化龙2号 Hualong No.2（高产型）</w:t>
      </w:r>
      <w:bookmarkEnd w:id="9"/>
    </w:p>
    <w:p w14:paraId="74F797BA">
      <w:pPr>
        <w:keepNext w:val="0"/>
        <w:keepLines w:val="0"/>
        <w:pageBreakBefore w:val="0"/>
        <w:widowControl w:val="0"/>
        <w:kinsoku/>
        <w:wordWrap/>
        <w:overflowPunct/>
        <w:topLinePunct w:val="0"/>
        <w:autoSpaceDE/>
        <w:autoSpaceDN/>
        <w:bidi w:val="0"/>
        <w:adjustRightInd/>
        <w:snapToGrid/>
        <w:spacing w:before="300" w:after="120" w:line="288" w:lineRule="auto"/>
        <w:ind w:left="0" w:firstLine="480" w:firstLineChars="200"/>
        <w:jc w:val="left"/>
        <w:textAlignment w:val="auto"/>
        <w:outlineLvl w:val="2"/>
        <w:rPr>
          <w:rFonts w:hint="eastAsia" w:ascii="宋体" w:hAnsi="宋体" w:eastAsia="宋体" w:cs="宋体"/>
          <w:sz w:val="24"/>
          <w:szCs w:val="24"/>
        </w:rPr>
      </w:pPr>
      <w:r>
        <w:rPr>
          <w:rFonts w:hint="eastAsia" w:ascii="宋体" w:hAnsi="宋体" w:eastAsia="宋体" w:cs="宋体"/>
          <w:sz w:val="24"/>
          <w:szCs w:val="24"/>
        </w:rPr>
        <w:t>化龙山野生川党参种子繁育选育品系。芦头粗大，主根粗壮，丰产性好，适合规模化大田栽培。</w:t>
      </w:r>
    </w:p>
    <w:p w14:paraId="19A7A199">
      <w:pPr>
        <w:spacing w:before="300" w:after="120" w:line="288" w:lineRule="auto"/>
        <w:ind w:left="0"/>
        <w:jc w:val="left"/>
        <w:outlineLvl w:val="2"/>
        <w:rPr>
          <w:rFonts w:hint="eastAsia" w:ascii="宋体" w:hAnsi="宋体" w:eastAsia="宋体" w:cs="宋体"/>
          <w:b/>
          <w:sz w:val="24"/>
          <w:szCs w:val="24"/>
        </w:rPr>
      </w:pPr>
      <w:bookmarkStart w:id="10" w:name="heading_10"/>
      <w:r>
        <w:rPr>
          <w:rFonts w:hint="eastAsia" w:ascii="宋体" w:hAnsi="宋体" w:eastAsia="宋体" w:cs="宋体"/>
          <w:b/>
          <w:sz w:val="24"/>
          <w:szCs w:val="24"/>
        </w:rPr>
        <w:t>3.4 银黑双色地膜打孔育苗</w:t>
      </w:r>
      <w:bookmarkEnd w:id="10"/>
    </w:p>
    <w:p w14:paraId="062F9C4F">
      <w:pPr>
        <w:keepNext w:val="0"/>
        <w:keepLines w:val="0"/>
        <w:pageBreakBefore w:val="0"/>
        <w:widowControl w:val="0"/>
        <w:kinsoku/>
        <w:wordWrap/>
        <w:overflowPunct/>
        <w:topLinePunct w:val="0"/>
        <w:autoSpaceDE/>
        <w:autoSpaceDN/>
        <w:bidi w:val="0"/>
        <w:adjustRightInd/>
        <w:snapToGrid/>
        <w:spacing w:before="300" w:after="120" w:line="288" w:lineRule="auto"/>
        <w:ind w:left="0" w:firstLine="480" w:firstLineChars="200"/>
        <w:jc w:val="left"/>
        <w:textAlignment w:val="auto"/>
        <w:outlineLvl w:val="2"/>
        <w:rPr>
          <w:rFonts w:hint="eastAsia" w:ascii="宋体" w:hAnsi="宋体" w:eastAsia="宋体" w:cs="宋体"/>
          <w:sz w:val="24"/>
          <w:szCs w:val="24"/>
        </w:rPr>
      </w:pPr>
      <w:r>
        <w:rPr>
          <w:rFonts w:hint="eastAsia" w:ascii="宋体" w:hAnsi="宋体" w:eastAsia="宋体" w:cs="宋体"/>
          <w:sz w:val="24"/>
          <w:szCs w:val="24"/>
        </w:rPr>
        <w:t>采用银黑双色地膜（银面朝上）覆盖苗床，使用专用打孔器开孔，在孔内点播种子，实现增温、保墒、抑草的党参轻简化育苗模式。</w:t>
      </w:r>
    </w:p>
    <w:p w14:paraId="5C7DF0DA">
      <w:pPr>
        <w:spacing w:before="300" w:after="120" w:line="288" w:lineRule="auto"/>
        <w:ind w:left="0"/>
        <w:jc w:val="left"/>
        <w:outlineLvl w:val="2"/>
        <w:rPr>
          <w:rFonts w:hint="eastAsia" w:ascii="宋体" w:hAnsi="宋体" w:eastAsia="宋体" w:cs="宋体"/>
          <w:sz w:val="24"/>
          <w:szCs w:val="24"/>
        </w:rPr>
      </w:pPr>
      <w:bookmarkStart w:id="11" w:name="heading_11"/>
      <w:r>
        <w:rPr>
          <w:rFonts w:hint="eastAsia" w:ascii="宋体" w:hAnsi="宋体" w:eastAsia="宋体" w:cs="宋体"/>
          <w:b/>
          <w:sz w:val="24"/>
          <w:szCs w:val="24"/>
        </w:rPr>
        <w:t>3.5 银黑地膜半膜栽植</w:t>
      </w:r>
      <w:bookmarkEnd w:id="11"/>
    </w:p>
    <w:p w14:paraId="60792367">
      <w:pPr>
        <w:keepNext w:val="0"/>
        <w:keepLines w:val="0"/>
        <w:pageBreakBefore w:val="0"/>
        <w:widowControl w:val="0"/>
        <w:kinsoku/>
        <w:wordWrap/>
        <w:overflowPunct/>
        <w:topLinePunct w:val="0"/>
        <w:autoSpaceDE/>
        <w:autoSpaceDN/>
        <w:bidi w:val="0"/>
        <w:adjustRightInd/>
        <w:snapToGrid/>
        <w:spacing w:before="120" w:after="120" w:line="288"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核心是“露</w:t>
      </w:r>
      <w:r>
        <w:rPr>
          <w:rFonts w:hint="eastAsia" w:ascii="宋体" w:hAnsi="宋体" w:eastAsia="宋体" w:cs="宋体"/>
          <w:color w:val="auto"/>
          <w:sz w:val="24"/>
          <w:szCs w:val="24"/>
        </w:rPr>
        <w:t>头</w:t>
      </w:r>
      <w:r>
        <w:rPr>
          <w:rFonts w:hint="eastAsia" w:ascii="宋体" w:hAnsi="宋体" w:eastAsia="宋体" w:cs="宋体"/>
          <w:color w:val="auto"/>
          <w:sz w:val="24"/>
          <w:szCs w:val="24"/>
          <w:lang w:eastAsia="zh-CN"/>
        </w:rPr>
        <w:t>覆膜”，即党参移栽时把种苗</w:t>
      </w:r>
      <w:r>
        <w:rPr>
          <w:rFonts w:hint="eastAsia" w:ascii="宋体" w:hAnsi="宋体" w:eastAsia="宋体" w:cs="宋体"/>
          <w:color w:val="auto"/>
          <w:sz w:val="24"/>
          <w:szCs w:val="24"/>
        </w:rPr>
        <w:t>芦头</w:t>
      </w:r>
      <w:r>
        <w:rPr>
          <w:rFonts w:hint="eastAsia" w:ascii="宋体" w:hAnsi="宋体" w:eastAsia="宋体" w:cs="宋体"/>
          <w:color w:val="auto"/>
          <w:sz w:val="24"/>
          <w:szCs w:val="24"/>
          <w:lang w:eastAsia="zh-CN"/>
        </w:rPr>
        <w:t>留在</w:t>
      </w:r>
      <w:r>
        <w:rPr>
          <w:rFonts w:hint="eastAsia" w:ascii="宋体" w:hAnsi="宋体" w:eastAsia="宋体" w:cs="宋体"/>
          <w:color w:val="auto"/>
          <w:sz w:val="24"/>
          <w:szCs w:val="24"/>
        </w:rPr>
        <w:t>膜外，</w:t>
      </w:r>
      <w:r>
        <w:rPr>
          <w:rFonts w:hint="eastAsia" w:ascii="宋体" w:hAnsi="宋体" w:eastAsia="宋体" w:cs="宋体"/>
          <w:color w:val="auto"/>
          <w:sz w:val="24"/>
          <w:szCs w:val="24"/>
          <w:lang w:eastAsia="zh-CN"/>
        </w:rPr>
        <w:t>苗身盖</w:t>
      </w:r>
      <w:r>
        <w:rPr>
          <w:rFonts w:hint="eastAsia" w:ascii="宋体" w:hAnsi="宋体" w:eastAsia="宋体" w:cs="宋体"/>
          <w:color w:val="auto"/>
          <w:sz w:val="24"/>
          <w:szCs w:val="24"/>
        </w:rPr>
        <w:t>土</w:t>
      </w:r>
      <w:r>
        <w:rPr>
          <w:rFonts w:hint="eastAsia" w:ascii="宋体" w:hAnsi="宋体" w:eastAsia="宋体" w:cs="宋体"/>
          <w:color w:val="auto"/>
          <w:sz w:val="24"/>
          <w:szCs w:val="24"/>
          <w:lang w:eastAsia="zh-CN"/>
        </w:rPr>
        <w:t>留在膜内</w:t>
      </w:r>
      <w:r>
        <w:rPr>
          <w:rFonts w:hint="eastAsia" w:ascii="宋体" w:hAnsi="宋体" w:eastAsia="宋体" w:cs="宋体"/>
          <w:color w:val="auto"/>
          <w:sz w:val="24"/>
          <w:szCs w:val="24"/>
        </w:rPr>
        <w:t>，起到保墒</w:t>
      </w:r>
      <w:r>
        <w:rPr>
          <w:rFonts w:hint="eastAsia" w:ascii="宋体" w:hAnsi="宋体" w:eastAsia="宋体" w:cs="宋体"/>
          <w:color w:val="auto"/>
          <w:sz w:val="24"/>
          <w:szCs w:val="24"/>
          <w:lang w:eastAsia="zh-CN"/>
        </w:rPr>
        <w:t>增温</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防止闷苗，抑制杂草的</w:t>
      </w:r>
      <w:r>
        <w:rPr>
          <w:rFonts w:hint="eastAsia" w:ascii="宋体" w:hAnsi="宋体" w:eastAsia="宋体" w:cs="宋体"/>
          <w:color w:val="auto"/>
          <w:sz w:val="24"/>
          <w:szCs w:val="24"/>
        </w:rPr>
        <w:t>栽培方式。</w:t>
      </w:r>
    </w:p>
    <w:p w14:paraId="110C40E9">
      <w:pPr>
        <w:spacing w:before="320" w:after="120" w:line="288" w:lineRule="auto"/>
        <w:ind w:left="0"/>
        <w:jc w:val="left"/>
        <w:outlineLvl w:val="1"/>
        <w:rPr>
          <w:rFonts w:hint="eastAsia" w:ascii="宋体" w:hAnsi="宋体" w:eastAsia="宋体" w:cs="宋体"/>
          <w:b/>
          <w:sz w:val="24"/>
          <w:szCs w:val="24"/>
          <w:highlight w:val="yellow"/>
        </w:rPr>
      </w:pPr>
      <w:bookmarkStart w:id="12" w:name="heading_12"/>
      <w:r>
        <w:rPr>
          <w:rFonts w:hint="eastAsia" w:ascii="宋体" w:hAnsi="宋体" w:eastAsia="宋体" w:cs="宋体"/>
          <w:b/>
          <w:sz w:val="24"/>
          <w:szCs w:val="24"/>
        </w:rPr>
        <w:t>4 </w:t>
      </w:r>
      <w:r>
        <w:rPr>
          <w:rFonts w:hint="eastAsia" w:ascii="宋体" w:hAnsi="宋体" w:eastAsia="宋体" w:cs="宋体"/>
          <w:b/>
          <w:sz w:val="24"/>
          <w:szCs w:val="24"/>
          <w:lang w:val="en-US" w:eastAsia="zh-CN"/>
        </w:rPr>
        <w:t>适用</w:t>
      </w:r>
      <w:r>
        <w:rPr>
          <w:rFonts w:hint="eastAsia" w:ascii="宋体" w:hAnsi="宋体" w:eastAsia="宋体" w:cs="宋体"/>
          <w:b/>
          <w:sz w:val="24"/>
          <w:szCs w:val="24"/>
          <w:highlight w:val="none"/>
        </w:rPr>
        <w:t>范围</w:t>
      </w:r>
      <w:bookmarkEnd w:id="12"/>
    </w:p>
    <w:p w14:paraId="2005971B">
      <w:pPr>
        <w:keepNext w:val="0"/>
        <w:keepLines w:val="0"/>
        <w:pageBreakBefore w:val="0"/>
        <w:widowControl w:val="0"/>
        <w:kinsoku/>
        <w:wordWrap/>
        <w:overflowPunct/>
        <w:topLinePunct w:val="0"/>
        <w:autoSpaceDE/>
        <w:autoSpaceDN/>
        <w:bidi w:val="0"/>
        <w:adjustRightInd/>
        <w:snapToGrid/>
        <w:spacing w:before="320" w:after="120" w:line="288" w:lineRule="auto"/>
        <w:ind w:left="0" w:firstLine="480" w:firstLineChars="200"/>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以平利县八仙镇为核心，涵盖周边正阳镇、洛河镇、广佛镇及镇坪县适宜种植区域。</w:t>
      </w:r>
    </w:p>
    <w:p w14:paraId="6707F9FA">
      <w:pPr>
        <w:spacing w:before="120" w:after="120" w:line="288" w:lineRule="auto"/>
        <w:ind w:left="0"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海拔1200m</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2600m。</w:t>
      </w:r>
    </w:p>
    <w:p w14:paraId="11113B86">
      <w:pPr>
        <w:spacing w:before="320" w:after="120" w:line="288" w:lineRule="auto"/>
        <w:ind w:left="0"/>
        <w:jc w:val="left"/>
        <w:outlineLvl w:val="1"/>
        <w:rPr>
          <w:rFonts w:hint="eastAsia" w:ascii="宋体" w:hAnsi="宋体" w:eastAsia="宋体" w:cs="宋体"/>
          <w:sz w:val="24"/>
          <w:szCs w:val="24"/>
        </w:rPr>
      </w:pPr>
      <w:bookmarkStart w:id="13" w:name="heading_13"/>
      <w:r>
        <w:rPr>
          <w:rFonts w:hint="eastAsia" w:ascii="宋体" w:hAnsi="宋体" w:eastAsia="宋体" w:cs="宋体"/>
          <w:b/>
          <w:sz w:val="24"/>
          <w:szCs w:val="24"/>
        </w:rPr>
        <w:t>5 产地自然环境</w:t>
      </w:r>
      <w:bookmarkEnd w:id="13"/>
    </w:p>
    <w:p w14:paraId="72C48E10">
      <w:pPr>
        <w:spacing w:before="300" w:after="120" w:line="288" w:lineRule="auto"/>
        <w:ind w:left="0"/>
        <w:jc w:val="left"/>
        <w:outlineLvl w:val="2"/>
        <w:rPr>
          <w:rFonts w:hint="eastAsia" w:ascii="宋体" w:hAnsi="宋体" w:eastAsia="宋体" w:cs="宋体"/>
          <w:b/>
          <w:sz w:val="24"/>
          <w:szCs w:val="24"/>
        </w:rPr>
      </w:pPr>
      <w:bookmarkStart w:id="14" w:name="heading_14"/>
      <w:r>
        <w:rPr>
          <w:rFonts w:hint="eastAsia" w:ascii="宋体" w:hAnsi="宋体" w:eastAsia="宋体" w:cs="宋体"/>
          <w:b/>
          <w:sz w:val="24"/>
          <w:szCs w:val="24"/>
        </w:rPr>
        <w:t>5.1 地理条件</w:t>
      </w:r>
      <w:bookmarkEnd w:id="14"/>
    </w:p>
    <w:p w14:paraId="2C176578">
      <w:pPr>
        <w:spacing w:before="300" w:after="120" w:line="288" w:lineRule="auto"/>
        <w:ind w:left="0" w:firstLine="480" w:firstLineChars="200"/>
        <w:jc w:val="left"/>
        <w:outlineLvl w:val="2"/>
        <w:rPr>
          <w:rFonts w:hint="eastAsia" w:ascii="宋体" w:hAnsi="宋体" w:eastAsia="宋体" w:cs="宋体"/>
          <w:sz w:val="24"/>
          <w:szCs w:val="24"/>
        </w:rPr>
      </w:pPr>
      <w:r>
        <w:rPr>
          <w:rFonts w:hint="eastAsia" w:ascii="宋体" w:hAnsi="宋体" w:eastAsia="宋体" w:cs="宋体"/>
          <w:sz w:val="24"/>
          <w:szCs w:val="24"/>
        </w:rPr>
        <w:t>地处秦巴腹地，北靠秦岭、南依化龙山，森林覆盖率≥80%，生态洁净，无工业污染源。</w:t>
      </w:r>
    </w:p>
    <w:p w14:paraId="5C2EAD05">
      <w:pPr>
        <w:spacing w:before="300" w:after="120" w:line="288" w:lineRule="auto"/>
        <w:ind w:left="0"/>
        <w:jc w:val="left"/>
        <w:outlineLvl w:val="2"/>
        <w:rPr>
          <w:rFonts w:hint="eastAsia" w:ascii="宋体" w:hAnsi="宋体" w:eastAsia="宋体" w:cs="宋体"/>
          <w:b/>
          <w:sz w:val="24"/>
          <w:szCs w:val="24"/>
        </w:rPr>
      </w:pPr>
      <w:bookmarkStart w:id="15" w:name="heading_15"/>
      <w:r>
        <w:rPr>
          <w:rFonts w:hint="eastAsia" w:ascii="宋体" w:hAnsi="宋体" w:eastAsia="宋体" w:cs="宋体"/>
          <w:b/>
          <w:sz w:val="24"/>
          <w:szCs w:val="24"/>
        </w:rPr>
        <w:t>5.2 气候</w:t>
      </w:r>
      <w:bookmarkEnd w:id="15"/>
    </w:p>
    <w:p w14:paraId="4E39B76C">
      <w:pPr>
        <w:keepNext w:val="0"/>
        <w:keepLines w:val="0"/>
        <w:pageBreakBefore w:val="0"/>
        <w:widowControl w:val="0"/>
        <w:kinsoku/>
        <w:wordWrap/>
        <w:overflowPunct/>
        <w:topLinePunct w:val="0"/>
        <w:autoSpaceDE/>
        <w:autoSpaceDN/>
        <w:bidi w:val="0"/>
        <w:adjustRightInd/>
        <w:snapToGrid/>
        <w:spacing w:before="300" w:after="120" w:line="288" w:lineRule="auto"/>
        <w:ind w:left="0" w:firstLine="480" w:firstLineChars="200"/>
        <w:jc w:val="left"/>
        <w:textAlignment w:val="auto"/>
        <w:outlineLvl w:val="2"/>
        <w:rPr>
          <w:rFonts w:hint="eastAsia" w:ascii="宋体" w:hAnsi="宋体" w:eastAsia="宋体" w:cs="宋体"/>
          <w:sz w:val="24"/>
          <w:szCs w:val="24"/>
        </w:rPr>
      </w:pPr>
      <w:r>
        <w:rPr>
          <w:rFonts w:hint="eastAsia" w:ascii="宋体" w:hAnsi="宋体" w:eastAsia="宋体" w:cs="宋体"/>
          <w:sz w:val="24"/>
          <w:szCs w:val="24"/>
        </w:rPr>
        <w:t>北亚热带湿润季风气候，四季分明</w:t>
      </w:r>
      <w:r>
        <w:rPr>
          <w:rFonts w:hint="eastAsia" w:ascii="宋体" w:hAnsi="宋体" w:eastAsia="宋体" w:cs="宋体"/>
          <w:sz w:val="24"/>
          <w:szCs w:val="24"/>
          <w:lang w:val="en-US" w:eastAsia="zh-CN"/>
        </w:rPr>
        <w:t>,</w:t>
      </w:r>
      <w:r>
        <w:rPr>
          <w:rFonts w:hint="eastAsia" w:ascii="宋体" w:hAnsi="宋体" w:eastAsia="宋体" w:cs="宋体"/>
          <w:sz w:val="24"/>
          <w:szCs w:val="24"/>
        </w:rPr>
        <w:t>年均气温</w:t>
      </w:r>
      <w:r>
        <w:rPr>
          <w:rFonts w:hint="eastAsia" w:ascii="宋体" w:hAnsi="宋体" w:eastAsia="宋体" w:cs="宋体"/>
          <w:sz w:val="24"/>
          <w:szCs w:val="24"/>
          <w:lang w:val="en-US" w:eastAsia="zh-CN"/>
        </w:rPr>
        <w:t>11</w:t>
      </w:r>
      <w:r>
        <w:rPr>
          <w:rFonts w:hint="eastAsia" w:ascii="宋体" w:hAnsi="宋体" w:eastAsia="宋体" w:cs="宋体"/>
          <w:sz w:val="24"/>
          <w:szCs w:val="24"/>
        </w:rPr>
        <w:t>℃</w:t>
      </w:r>
      <w:r>
        <w:rPr>
          <w:rFonts w:hint="eastAsia" w:ascii="宋体" w:hAnsi="宋体" w:eastAsia="宋体" w:cs="宋体"/>
          <w:sz w:val="24"/>
          <w:szCs w:val="24"/>
          <w:lang w:val="en-US" w:eastAsia="zh-CN"/>
        </w:rPr>
        <w:t>-12</w:t>
      </w:r>
      <w:r>
        <w:rPr>
          <w:rFonts w:hint="eastAsia" w:ascii="宋体" w:hAnsi="宋体" w:eastAsia="宋体" w:cs="宋体"/>
          <w:sz w:val="24"/>
          <w:szCs w:val="24"/>
        </w:rPr>
        <w:t>℃，年均降水量</w:t>
      </w:r>
      <w:r>
        <w:rPr>
          <w:rFonts w:hint="eastAsia" w:ascii="宋体" w:hAnsi="宋体" w:eastAsia="宋体" w:cs="宋体"/>
          <w:sz w:val="24"/>
          <w:szCs w:val="24"/>
          <w:lang w:val="en-US" w:eastAsia="zh-CN"/>
        </w:rPr>
        <w:t>900</w:t>
      </w:r>
      <w:r>
        <w:rPr>
          <w:rFonts w:hint="eastAsia" w:ascii="宋体" w:hAnsi="宋体" w:eastAsia="宋体" w:cs="宋体"/>
          <w:sz w:val="24"/>
          <w:szCs w:val="24"/>
        </w:rPr>
        <w:t>mm</w:t>
      </w:r>
      <w:r>
        <w:rPr>
          <w:rFonts w:hint="eastAsia" w:ascii="宋体" w:hAnsi="宋体" w:eastAsia="宋体" w:cs="宋体"/>
          <w:sz w:val="24"/>
          <w:szCs w:val="24"/>
          <w:lang w:val="en-US" w:eastAsia="zh-CN"/>
        </w:rPr>
        <w:t>-1100</w:t>
      </w:r>
      <w:r>
        <w:rPr>
          <w:rFonts w:hint="eastAsia" w:ascii="宋体" w:hAnsi="宋体" w:eastAsia="宋体" w:cs="宋体"/>
          <w:sz w:val="24"/>
          <w:szCs w:val="24"/>
        </w:rPr>
        <w:t>mm；光照充足，昼夜温差大，利于根部养分积累。</w:t>
      </w:r>
    </w:p>
    <w:p w14:paraId="50B1DA1B">
      <w:pPr>
        <w:spacing w:before="300" w:after="120" w:line="288" w:lineRule="auto"/>
        <w:ind w:left="0"/>
        <w:jc w:val="left"/>
        <w:outlineLvl w:val="2"/>
        <w:rPr>
          <w:rFonts w:hint="eastAsia" w:ascii="宋体" w:hAnsi="宋体" w:eastAsia="宋体" w:cs="宋体"/>
          <w:b/>
          <w:sz w:val="24"/>
          <w:szCs w:val="24"/>
        </w:rPr>
      </w:pPr>
      <w:bookmarkStart w:id="16" w:name="heading_16"/>
      <w:r>
        <w:rPr>
          <w:rFonts w:hint="eastAsia" w:ascii="宋体" w:hAnsi="宋体" w:eastAsia="宋体" w:cs="宋体"/>
          <w:b/>
          <w:sz w:val="24"/>
          <w:szCs w:val="24"/>
        </w:rPr>
        <w:t>5.3 土壤</w:t>
      </w:r>
      <w:bookmarkEnd w:id="16"/>
    </w:p>
    <w:p w14:paraId="28EAEA57">
      <w:pPr>
        <w:keepNext w:val="0"/>
        <w:keepLines w:val="0"/>
        <w:pageBreakBefore w:val="0"/>
        <w:widowControl w:val="0"/>
        <w:kinsoku/>
        <w:wordWrap/>
        <w:overflowPunct/>
        <w:topLinePunct w:val="0"/>
        <w:autoSpaceDE/>
        <w:autoSpaceDN/>
        <w:bidi w:val="0"/>
        <w:adjustRightInd/>
        <w:snapToGrid/>
        <w:spacing w:before="300" w:after="120" w:line="288" w:lineRule="auto"/>
        <w:ind w:left="0" w:firstLine="480" w:firstLineChars="200"/>
        <w:jc w:val="left"/>
        <w:textAlignment w:val="auto"/>
        <w:outlineLvl w:val="2"/>
        <w:rPr>
          <w:rFonts w:hint="eastAsia" w:ascii="宋体" w:hAnsi="宋体" w:eastAsia="宋体" w:cs="宋体"/>
          <w:sz w:val="24"/>
          <w:szCs w:val="24"/>
        </w:rPr>
      </w:pPr>
      <w:r>
        <w:rPr>
          <w:rFonts w:hint="eastAsia" w:ascii="宋体" w:hAnsi="宋体" w:eastAsia="宋体" w:cs="宋体"/>
          <w:sz w:val="24"/>
          <w:szCs w:val="24"/>
        </w:rPr>
        <w:t>优先选择排水良好</w:t>
      </w:r>
      <w:r>
        <w:rPr>
          <w:rFonts w:hint="eastAsia" w:ascii="宋体" w:hAnsi="宋体" w:eastAsia="宋体" w:cs="宋体"/>
          <w:sz w:val="24"/>
          <w:szCs w:val="24"/>
          <w:lang w:eastAsia="zh-CN"/>
        </w:rPr>
        <w:t>、</w:t>
      </w:r>
      <w:r>
        <w:rPr>
          <w:rFonts w:hint="eastAsia" w:ascii="宋体" w:hAnsi="宋体" w:eastAsia="宋体" w:cs="宋体"/>
          <w:sz w:val="24"/>
          <w:szCs w:val="24"/>
        </w:rPr>
        <w:t>土层深厚疏松</w:t>
      </w:r>
      <w:r>
        <w:rPr>
          <w:rFonts w:hint="eastAsia" w:ascii="宋体" w:hAnsi="宋体" w:eastAsia="宋体" w:cs="宋体"/>
          <w:sz w:val="24"/>
          <w:szCs w:val="24"/>
          <w:lang w:eastAsia="zh-CN"/>
        </w:rPr>
        <w:t>、富含腐殖质的</w:t>
      </w:r>
      <w:r>
        <w:rPr>
          <w:rFonts w:hint="eastAsia" w:ascii="宋体" w:hAnsi="宋体" w:eastAsia="宋体" w:cs="宋体"/>
          <w:sz w:val="24"/>
          <w:szCs w:val="24"/>
        </w:rPr>
        <w:t>砂质壤土</w:t>
      </w:r>
      <w:r>
        <w:rPr>
          <w:rFonts w:hint="eastAsia" w:ascii="宋体" w:hAnsi="宋体" w:eastAsia="宋体" w:cs="宋体"/>
          <w:sz w:val="24"/>
          <w:szCs w:val="24"/>
          <w:lang w:eastAsia="zh-CN"/>
        </w:rPr>
        <w:t>、黄棕壤，</w:t>
      </w:r>
      <w:r>
        <w:rPr>
          <w:rFonts w:hint="eastAsia" w:ascii="宋体" w:hAnsi="宋体" w:eastAsia="宋体" w:cs="宋体"/>
          <w:sz w:val="24"/>
          <w:szCs w:val="24"/>
        </w:rPr>
        <w:t>有机质≥2.0</w:t>
      </w:r>
      <w:r>
        <w:rPr>
          <w:rFonts w:hint="eastAsia" w:ascii="宋体" w:hAnsi="宋体" w:eastAsia="宋体" w:cs="宋体"/>
          <w:sz w:val="24"/>
          <w:szCs w:val="24"/>
          <w:lang w:val="en-US" w:eastAsia="zh-CN"/>
        </w:rPr>
        <w:t>mg/kg</w:t>
      </w:r>
      <w:r>
        <w:rPr>
          <w:rFonts w:hint="eastAsia" w:ascii="宋体" w:hAnsi="宋体" w:eastAsia="宋体" w:cs="宋体"/>
          <w:sz w:val="24"/>
          <w:szCs w:val="24"/>
        </w:rPr>
        <w:t>，硒含量0.05mg/kg</w:t>
      </w:r>
      <w:r>
        <w:rPr>
          <w:rFonts w:hint="eastAsia" w:ascii="宋体" w:hAnsi="宋体" w:eastAsia="宋体" w:cs="宋体"/>
          <w:sz w:val="24"/>
          <w:szCs w:val="24"/>
          <w:lang w:val="en-US" w:eastAsia="zh-CN"/>
        </w:rPr>
        <w:t>-</w:t>
      </w:r>
      <w:r>
        <w:rPr>
          <w:rFonts w:hint="eastAsia" w:ascii="宋体" w:hAnsi="宋体" w:eastAsia="宋体" w:cs="宋体"/>
          <w:sz w:val="24"/>
          <w:szCs w:val="24"/>
        </w:rPr>
        <w:t>0.30mg/kg，pH</w:t>
      </w:r>
      <w:r>
        <w:rPr>
          <w:rFonts w:hint="eastAsia" w:ascii="宋体" w:hAnsi="宋体" w:eastAsia="宋体" w:cs="宋体"/>
          <w:sz w:val="24"/>
          <w:szCs w:val="24"/>
          <w:lang w:eastAsia="zh-CN"/>
        </w:rPr>
        <w:t>值</w:t>
      </w:r>
      <w:r>
        <w:rPr>
          <w:rFonts w:hint="eastAsia" w:ascii="宋体" w:hAnsi="宋体" w:eastAsia="宋体" w:cs="宋体"/>
          <w:sz w:val="24"/>
          <w:szCs w:val="24"/>
        </w:rPr>
        <w:t>5.5</w:t>
      </w:r>
      <w:r>
        <w:rPr>
          <w:rFonts w:hint="eastAsia" w:ascii="宋体" w:hAnsi="宋体" w:eastAsia="宋体" w:cs="宋体"/>
          <w:sz w:val="24"/>
          <w:szCs w:val="24"/>
          <w:lang w:val="en-US" w:eastAsia="zh-CN"/>
        </w:rPr>
        <w:t>-</w:t>
      </w:r>
      <w:r>
        <w:rPr>
          <w:rFonts w:hint="eastAsia" w:ascii="宋体" w:hAnsi="宋体" w:eastAsia="宋体" w:cs="宋体"/>
          <w:sz w:val="24"/>
          <w:szCs w:val="24"/>
        </w:rPr>
        <w:t>7.0；忌黏重积水低洼地块，不宜重茬。</w:t>
      </w:r>
    </w:p>
    <w:p w14:paraId="4ED44F4C">
      <w:pPr>
        <w:spacing w:before="300" w:after="120" w:line="288" w:lineRule="auto"/>
        <w:ind w:left="0"/>
        <w:jc w:val="left"/>
        <w:outlineLvl w:val="2"/>
        <w:rPr>
          <w:rFonts w:hint="eastAsia" w:ascii="宋体" w:hAnsi="宋体" w:eastAsia="宋体" w:cs="宋体"/>
          <w:b/>
          <w:sz w:val="24"/>
          <w:szCs w:val="24"/>
        </w:rPr>
      </w:pPr>
      <w:bookmarkStart w:id="17" w:name="heading_17"/>
      <w:r>
        <w:rPr>
          <w:rFonts w:hint="eastAsia" w:ascii="宋体" w:hAnsi="宋体" w:eastAsia="宋体" w:cs="宋体"/>
          <w:b/>
          <w:sz w:val="24"/>
          <w:szCs w:val="24"/>
        </w:rPr>
        <w:t>5.4 环境质量</w:t>
      </w:r>
      <w:bookmarkEnd w:id="17"/>
    </w:p>
    <w:p w14:paraId="6D145207">
      <w:pPr>
        <w:keepNext w:val="0"/>
        <w:keepLines w:val="0"/>
        <w:pageBreakBefore w:val="0"/>
        <w:widowControl w:val="0"/>
        <w:kinsoku/>
        <w:wordWrap/>
        <w:overflowPunct/>
        <w:topLinePunct w:val="0"/>
        <w:autoSpaceDE/>
        <w:autoSpaceDN/>
        <w:bidi w:val="0"/>
        <w:adjustRightInd/>
        <w:snapToGrid/>
        <w:spacing w:before="300" w:after="120" w:line="288" w:lineRule="auto"/>
        <w:ind w:left="0" w:firstLine="480" w:firstLineChars="200"/>
        <w:jc w:val="left"/>
        <w:textAlignment w:val="auto"/>
        <w:outlineLvl w:val="2"/>
        <w:rPr>
          <w:rFonts w:hint="eastAsia" w:ascii="宋体" w:hAnsi="宋体" w:eastAsia="宋体" w:cs="宋体"/>
          <w:sz w:val="24"/>
          <w:szCs w:val="24"/>
        </w:rPr>
      </w:pPr>
      <w:r>
        <w:rPr>
          <w:rFonts w:hint="eastAsia" w:ascii="宋体" w:hAnsi="宋体" w:eastAsia="宋体" w:cs="宋体"/>
          <w:sz w:val="24"/>
          <w:szCs w:val="24"/>
        </w:rPr>
        <w:t>环境空气质量应符合GB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3095；灌溉水质应符合GB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5084；土壤环境质量应符合GB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15618。</w:t>
      </w:r>
    </w:p>
    <w:p w14:paraId="4ED10755">
      <w:pPr>
        <w:spacing w:before="320" w:after="120" w:line="288" w:lineRule="auto"/>
        <w:ind w:left="0"/>
        <w:jc w:val="left"/>
        <w:outlineLvl w:val="1"/>
        <w:rPr>
          <w:rFonts w:hint="eastAsia" w:ascii="宋体" w:hAnsi="宋体" w:eastAsia="宋体" w:cs="宋体"/>
          <w:sz w:val="24"/>
          <w:szCs w:val="24"/>
        </w:rPr>
      </w:pPr>
      <w:bookmarkStart w:id="18" w:name="heading_18"/>
      <w:r>
        <w:rPr>
          <w:rFonts w:hint="eastAsia" w:ascii="宋体" w:hAnsi="宋体" w:eastAsia="宋体" w:cs="宋体"/>
          <w:b/>
          <w:sz w:val="24"/>
          <w:szCs w:val="24"/>
        </w:rPr>
        <w:t>6 种子与种苗繁育</w:t>
      </w:r>
      <w:bookmarkEnd w:id="18"/>
    </w:p>
    <w:p w14:paraId="0FE24F12">
      <w:pPr>
        <w:spacing w:before="300" w:after="120" w:line="288" w:lineRule="auto"/>
        <w:ind w:left="0"/>
        <w:jc w:val="left"/>
        <w:outlineLvl w:val="2"/>
        <w:rPr>
          <w:rFonts w:hint="eastAsia" w:ascii="宋体" w:hAnsi="宋体" w:eastAsia="宋体" w:cs="宋体"/>
          <w:sz w:val="24"/>
          <w:szCs w:val="24"/>
        </w:rPr>
      </w:pPr>
      <w:bookmarkStart w:id="19" w:name="heading_19"/>
      <w:r>
        <w:rPr>
          <w:rFonts w:hint="eastAsia" w:ascii="宋体" w:hAnsi="宋体" w:eastAsia="宋体" w:cs="宋体"/>
          <w:b/>
          <w:sz w:val="24"/>
          <w:szCs w:val="24"/>
        </w:rPr>
        <w:t>6.1 种子</w:t>
      </w:r>
      <w:bookmarkEnd w:id="19"/>
    </w:p>
    <w:p w14:paraId="328AC1FF">
      <w:pPr>
        <w:spacing w:before="120" w:after="120" w:line="288" w:lineRule="auto"/>
        <w:jc w:val="left"/>
        <w:rPr>
          <w:rFonts w:hint="eastAsia" w:ascii="宋体" w:hAnsi="宋体" w:eastAsia="宋体" w:cs="宋体"/>
          <w:sz w:val="24"/>
          <w:szCs w:val="24"/>
        </w:rPr>
      </w:pPr>
      <w:r>
        <w:rPr>
          <w:rFonts w:hint="eastAsia" w:ascii="宋体" w:hAnsi="宋体" w:eastAsia="宋体" w:cs="宋体"/>
          <w:sz w:val="24"/>
          <w:szCs w:val="24"/>
        </w:rPr>
        <w:t>6.1.1 采种：选择生长健壮、无病虫害的2</w:t>
      </w:r>
      <w:r>
        <w:rPr>
          <w:rFonts w:hint="eastAsia" w:ascii="宋体" w:hAnsi="宋体" w:eastAsia="宋体" w:cs="宋体"/>
          <w:sz w:val="24"/>
          <w:szCs w:val="24"/>
          <w:lang w:val="en-US" w:eastAsia="zh-CN"/>
        </w:rPr>
        <w:t>-</w:t>
      </w:r>
      <w:r>
        <w:rPr>
          <w:rFonts w:hint="eastAsia" w:ascii="宋体" w:hAnsi="宋体" w:eastAsia="宋体" w:cs="宋体"/>
          <w:sz w:val="24"/>
          <w:szCs w:val="24"/>
        </w:rPr>
        <w:t>3年生成株，9月</w:t>
      </w:r>
      <w:r>
        <w:rPr>
          <w:rFonts w:hint="eastAsia" w:ascii="宋体" w:hAnsi="宋体" w:eastAsia="宋体" w:cs="宋体"/>
          <w:sz w:val="24"/>
          <w:szCs w:val="24"/>
          <w:lang w:val="en-US" w:eastAsia="zh-CN"/>
        </w:rPr>
        <w:t>-</w:t>
      </w:r>
      <w:r>
        <w:rPr>
          <w:rFonts w:hint="eastAsia" w:ascii="宋体" w:hAnsi="宋体" w:eastAsia="宋体" w:cs="宋体"/>
          <w:sz w:val="24"/>
          <w:szCs w:val="24"/>
        </w:rPr>
        <w:t>10月蒴果成熟变为黄褐色时采收。</w:t>
      </w:r>
    </w:p>
    <w:p w14:paraId="03D722F8">
      <w:pPr>
        <w:spacing w:before="120" w:after="120" w:line="288" w:lineRule="auto"/>
        <w:jc w:val="left"/>
        <w:rPr>
          <w:rFonts w:hint="eastAsia" w:ascii="宋体" w:hAnsi="宋体" w:eastAsia="宋体" w:cs="宋体"/>
          <w:sz w:val="24"/>
          <w:szCs w:val="24"/>
        </w:rPr>
      </w:pPr>
      <w:r>
        <w:rPr>
          <w:rFonts w:hint="eastAsia" w:ascii="宋体" w:hAnsi="宋体" w:eastAsia="宋体" w:cs="宋体"/>
          <w:sz w:val="24"/>
          <w:szCs w:val="24"/>
        </w:rPr>
        <w:t>6.1.2 种子质量：籽粒饱满，无霉变，发芽率≥90%；种子阴凉干燥条件下贮藏，贮藏期不超过12个月。</w:t>
      </w:r>
    </w:p>
    <w:p w14:paraId="12C56B5F">
      <w:pPr>
        <w:spacing w:before="120" w:after="120" w:line="288" w:lineRule="auto"/>
        <w:jc w:val="left"/>
        <w:rPr>
          <w:rFonts w:hint="eastAsia" w:ascii="宋体" w:hAnsi="宋体" w:eastAsia="宋体" w:cs="宋体"/>
          <w:sz w:val="24"/>
          <w:szCs w:val="24"/>
        </w:rPr>
      </w:pPr>
      <w:r>
        <w:rPr>
          <w:rFonts w:hint="eastAsia" w:ascii="宋体" w:hAnsi="宋体" w:eastAsia="宋体" w:cs="宋体"/>
          <w:sz w:val="24"/>
          <w:szCs w:val="24"/>
        </w:rPr>
        <w:t>6.1.3 品种：选用化龙1号、化龙2号品系种子。</w:t>
      </w:r>
    </w:p>
    <w:p w14:paraId="59D8D6F4">
      <w:pPr>
        <w:spacing w:before="300" w:after="120" w:line="288" w:lineRule="auto"/>
        <w:ind w:left="0"/>
        <w:jc w:val="left"/>
        <w:outlineLvl w:val="2"/>
        <w:rPr>
          <w:rFonts w:hint="eastAsia" w:ascii="宋体" w:hAnsi="宋体" w:eastAsia="宋体" w:cs="宋体"/>
          <w:sz w:val="24"/>
          <w:szCs w:val="24"/>
        </w:rPr>
      </w:pPr>
      <w:bookmarkStart w:id="20" w:name="heading_20"/>
      <w:r>
        <w:rPr>
          <w:rFonts w:hint="eastAsia" w:ascii="宋体" w:hAnsi="宋体" w:eastAsia="宋体" w:cs="宋体"/>
          <w:b/>
          <w:sz w:val="24"/>
          <w:szCs w:val="24"/>
        </w:rPr>
        <w:t>6.2 银黑双色地膜打孔育苗</w:t>
      </w:r>
      <w:bookmarkEnd w:id="20"/>
    </w:p>
    <w:p w14:paraId="1012C028">
      <w:pPr>
        <w:spacing w:before="120" w:after="120" w:line="288" w:lineRule="auto"/>
        <w:ind w:left="0"/>
        <w:jc w:val="both"/>
        <w:rPr>
          <w:rFonts w:hint="eastAsia" w:ascii="宋体" w:hAnsi="宋体" w:eastAsia="宋体" w:cs="宋体"/>
          <w:sz w:val="24"/>
          <w:szCs w:val="24"/>
        </w:rPr>
      </w:pPr>
      <w:r>
        <w:rPr>
          <w:rFonts w:hint="eastAsia" w:ascii="宋体" w:hAnsi="宋体" w:eastAsia="宋体" w:cs="宋体"/>
          <w:sz w:val="24"/>
          <w:szCs w:val="24"/>
        </w:rPr>
        <w:t>6.2.1 苗床准备：选择地势平坦</w:t>
      </w:r>
      <w:r>
        <w:rPr>
          <w:rFonts w:hint="eastAsia" w:ascii="宋体" w:hAnsi="宋体" w:eastAsia="宋体" w:cs="宋体"/>
          <w:color w:val="auto"/>
          <w:sz w:val="24"/>
          <w:szCs w:val="24"/>
        </w:rPr>
        <w:t>、排水通畅地块；每667㎡施用腐熟农家肥1500kg</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2000kg，配施生物有机肥50kg</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80kg；</w:t>
      </w:r>
      <w:r>
        <w:rPr>
          <w:rFonts w:hint="eastAsia" w:ascii="宋体" w:hAnsi="宋体" w:eastAsia="宋体" w:cs="宋体"/>
          <w:color w:val="auto"/>
          <w:sz w:val="24"/>
          <w:szCs w:val="24"/>
          <w:lang w:eastAsia="zh-CN"/>
        </w:rPr>
        <w:t>做畦</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畦</w:t>
      </w:r>
      <w:r>
        <w:rPr>
          <w:rFonts w:hint="eastAsia" w:ascii="宋体" w:hAnsi="宋体" w:eastAsia="宋体" w:cs="宋体"/>
          <w:color w:val="auto"/>
          <w:sz w:val="24"/>
          <w:szCs w:val="24"/>
        </w:rPr>
        <w:t>宽100cm，高10cm，</w:t>
      </w:r>
      <w:r>
        <w:rPr>
          <w:rFonts w:hint="eastAsia" w:ascii="宋体" w:hAnsi="宋体" w:eastAsia="宋体" w:cs="宋体"/>
          <w:color w:val="auto"/>
          <w:sz w:val="24"/>
          <w:szCs w:val="24"/>
          <w:lang w:eastAsia="zh-CN"/>
        </w:rPr>
        <w:t>畦</w:t>
      </w:r>
      <w:r>
        <w:rPr>
          <w:rFonts w:hint="eastAsia" w:ascii="宋体" w:hAnsi="宋体" w:eastAsia="宋体" w:cs="宋体"/>
          <w:color w:val="auto"/>
          <w:sz w:val="24"/>
          <w:szCs w:val="24"/>
        </w:rPr>
        <w:t>面整</w:t>
      </w:r>
      <w:r>
        <w:rPr>
          <w:rFonts w:hint="eastAsia" w:ascii="宋体" w:hAnsi="宋体" w:eastAsia="宋体" w:cs="宋体"/>
          <w:sz w:val="24"/>
          <w:szCs w:val="24"/>
        </w:rPr>
        <w:t>平，清除石块</w:t>
      </w:r>
      <w:r>
        <w:rPr>
          <w:rFonts w:hint="eastAsia" w:ascii="宋体" w:hAnsi="宋体" w:eastAsia="宋体" w:cs="宋体"/>
          <w:sz w:val="24"/>
          <w:szCs w:val="24"/>
          <w:lang w:eastAsia="zh-CN"/>
        </w:rPr>
        <w:t>与杂草</w:t>
      </w:r>
      <w:r>
        <w:rPr>
          <w:rFonts w:hint="eastAsia" w:ascii="宋体" w:hAnsi="宋体" w:eastAsia="宋体" w:cs="宋体"/>
          <w:sz w:val="24"/>
          <w:szCs w:val="24"/>
        </w:rPr>
        <w:t>。</w:t>
      </w:r>
    </w:p>
    <w:p w14:paraId="44891E77">
      <w:pPr>
        <w:spacing w:before="120" w:after="120" w:line="288" w:lineRule="auto"/>
        <w:ind w:left="0"/>
        <w:jc w:val="both"/>
        <w:rPr>
          <w:rFonts w:hint="eastAsia" w:ascii="宋体" w:hAnsi="宋体" w:eastAsia="宋体" w:cs="宋体"/>
          <w:sz w:val="24"/>
          <w:szCs w:val="24"/>
        </w:rPr>
      </w:pPr>
      <w:r>
        <w:rPr>
          <w:rFonts w:hint="eastAsia" w:ascii="宋体" w:hAnsi="宋体" w:eastAsia="宋体" w:cs="宋体"/>
          <w:sz w:val="24"/>
          <w:szCs w:val="24"/>
        </w:rPr>
        <w:t>6.2.2 覆膜打孔：选用幅宽1.2m</w:t>
      </w:r>
      <w:r>
        <w:rPr>
          <w:rFonts w:hint="eastAsia" w:ascii="宋体" w:hAnsi="宋体" w:eastAsia="宋体" w:cs="宋体"/>
          <w:sz w:val="24"/>
          <w:szCs w:val="24"/>
          <w:lang w:eastAsia="zh-CN"/>
        </w:rPr>
        <w:t>、</w:t>
      </w:r>
      <w:r>
        <w:rPr>
          <w:rFonts w:hint="eastAsia" w:ascii="宋体" w:hAnsi="宋体" w:eastAsia="宋体" w:cs="宋体"/>
          <w:sz w:val="24"/>
          <w:szCs w:val="24"/>
        </w:rPr>
        <w:t>厚度0.2mm银黑双色地膜，银面朝上，四周覆土压实</w:t>
      </w:r>
      <w:r>
        <w:rPr>
          <w:rFonts w:hint="eastAsia" w:ascii="宋体" w:hAnsi="宋体" w:eastAsia="宋体" w:cs="宋体"/>
          <w:sz w:val="24"/>
          <w:szCs w:val="24"/>
          <w:lang w:eastAsia="zh-CN"/>
        </w:rPr>
        <w:t>，</w:t>
      </w:r>
      <w:r>
        <w:rPr>
          <w:rFonts w:hint="eastAsia" w:ascii="宋体" w:hAnsi="宋体" w:eastAsia="宋体" w:cs="宋体"/>
          <w:sz w:val="24"/>
          <w:szCs w:val="24"/>
        </w:rPr>
        <w:t>专用打孔器打孔，行距25cm</w:t>
      </w:r>
      <w:r>
        <w:rPr>
          <w:rFonts w:hint="eastAsia" w:ascii="宋体" w:hAnsi="宋体" w:eastAsia="宋体" w:cs="宋体"/>
          <w:sz w:val="24"/>
          <w:szCs w:val="24"/>
          <w:lang w:eastAsia="zh-CN"/>
        </w:rPr>
        <w:t>、孔</w:t>
      </w:r>
      <w:r>
        <w:rPr>
          <w:rFonts w:hint="eastAsia" w:ascii="宋体" w:hAnsi="宋体" w:eastAsia="宋体" w:cs="宋体"/>
          <w:sz w:val="24"/>
          <w:szCs w:val="24"/>
        </w:rPr>
        <w:t>距25cm，孔径14cm。</w:t>
      </w:r>
    </w:p>
    <w:p w14:paraId="66B80273">
      <w:pPr>
        <w:spacing w:before="120" w:after="120" w:line="288" w:lineRule="auto"/>
        <w:ind w:left="0"/>
        <w:jc w:val="both"/>
        <w:rPr>
          <w:rFonts w:hint="eastAsia" w:ascii="宋体" w:hAnsi="宋体" w:eastAsia="宋体" w:cs="宋体"/>
          <w:sz w:val="24"/>
          <w:szCs w:val="24"/>
        </w:rPr>
      </w:pPr>
      <w:r>
        <w:rPr>
          <w:rFonts w:hint="eastAsia" w:ascii="宋体" w:hAnsi="宋体" w:eastAsia="宋体" w:cs="宋体"/>
          <w:sz w:val="24"/>
          <w:szCs w:val="24"/>
        </w:rPr>
        <w:t>6.2.3 播种：4月上旬播种</w:t>
      </w:r>
      <w:r>
        <w:rPr>
          <w:rFonts w:hint="eastAsia" w:ascii="宋体" w:hAnsi="宋体" w:eastAsia="宋体" w:cs="宋体"/>
          <w:sz w:val="24"/>
          <w:szCs w:val="24"/>
          <w:lang w:eastAsia="zh-CN"/>
        </w:rPr>
        <w:t>，</w:t>
      </w:r>
      <w:r>
        <w:rPr>
          <w:rFonts w:hint="eastAsia" w:ascii="宋体" w:hAnsi="宋体" w:eastAsia="宋体" w:cs="宋体"/>
          <w:sz w:val="24"/>
          <w:szCs w:val="24"/>
        </w:rPr>
        <w:t>每667㎡播种量1.0kg</w:t>
      </w:r>
      <w:r>
        <w:rPr>
          <w:rFonts w:hint="eastAsia" w:ascii="宋体" w:hAnsi="宋体" w:eastAsia="宋体" w:cs="宋体"/>
          <w:sz w:val="24"/>
          <w:szCs w:val="24"/>
          <w:lang w:val="en-US" w:eastAsia="zh-CN"/>
        </w:rPr>
        <w:t>-</w:t>
      </w:r>
      <w:r>
        <w:rPr>
          <w:rFonts w:hint="eastAsia" w:ascii="宋体" w:hAnsi="宋体" w:eastAsia="宋体" w:cs="宋体"/>
          <w:sz w:val="24"/>
          <w:szCs w:val="24"/>
        </w:rPr>
        <w:t>1.5kg</w:t>
      </w:r>
      <w:r>
        <w:rPr>
          <w:rFonts w:hint="eastAsia" w:ascii="宋体" w:hAnsi="宋体" w:eastAsia="宋体" w:cs="宋体"/>
          <w:sz w:val="24"/>
          <w:szCs w:val="24"/>
          <w:lang w:eastAsia="zh-CN"/>
        </w:rPr>
        <w:t>，</w:t>
      </w:r>
      <w:r>
        <w:rPr>
          <w:rFonts w:hint="eastAsia" w:ascii="宋体" w:hAnsi="宋体" w:eastAsia="宋体" w:cs="宋体"/>
          <w:sz w:val="24"/>
          <w:szCs w:val="24"/>
        </w:rPr>
        <w:t>播深0.4cm</w:t>
      </w:r>
      <w:r>
        <w:rPr>
          <w:rFonts w:hint="eastAsia" w:ascii="宋体" w:hAnsi="宋体" w:eastAsia="宋体" w:cs="宋体"/>
          <w:sz w:val="24"/>
          <w:szCs w:val="24"/>
          <w:lang w:val="en-US" w:eastAsia="zh-CN"/>
        </w:rPr>
        <w:t>-</w:t>
      </w:r>
      <w:r>
        <w:rPr>
          <w:rFonts w:hint="eastAsia" w:ascii="宋体" w:hAnsi="宋体" w:eastAsia="宋体" w:cs="宋体"/>
          <w:sz w:val="24"/>
          <w:szCs w:val="24"/>
        </w:rPr>
        <w:t>0.6cm</w:t>
      </w:r>
      <w:r>
        <w:rPr>
          <w:rFonts w:hint="eastAsia" w:ascii="宋体" w:hAnsi="宋体" w:eastAsia="宋体" w:cs="宋体"/>
          <w:sz w:val="24"/>
          <w:szCs w:val="24"/>
          <w:lang w:eastAsia="zh-CN"/>
        </w:rPr>
        <w:t>，</w:t>
      </w:r>
      <w:r>
        <w:rPr>
          <w:rFonts w:hint="eastAsia" w:ascii="宋体" w:hAnsi="宋体" w:eastAsia="宋体" w:cs="宋体"/>
          <w:sz w:val="24"/>
          <w:szCs w:val="24"/>
        </w:rPr>
        <w:t>播后覆细土，覆盖松针或遮阳网保湿</w:t>
      </w:r>
      <w:r>
        <w:rPr>
          <w:rFonts w:hint="eastAsia" w:ascii="宋体" w:hAnsi="宋体" w:eastAsia="宋体" w:cs="宋体"/>
          <w:sz w:val="24"/>
          <w:szCs w:val="24"/>
          <w:lang w:eastAsia="zh-CN"/>
        </w:rPr>
        <w:t>保温</w:t>
      </w:r>
      <w:r>
        <w:rPr>
          <w:rFonts w:hint="eastAsia" w:ascii="宋体" w:hAnsi="宋体" w:eastAsia="宋体" w:cs="宋体"/>
          <w:sz w:val="24"/>
          <w:szCs w:val="24"/>
        </w:rPr>
        <w:t>。</w:t>
      </w:r>
    </w:p>
    <w:p w14:paraId="67894221">
      <w:pPr>
        <w:spacing w:before="120" w:after="120" w:line="288" w:lineRule="auto"/>
        <w:ind w:left="0"/>
        <w:jc w:val="both"/>
        <w:rPr>
          <w:rFonts w:hint="eastAsia" w:ascii="宋体" w:hAnsi="宋体" w:eastAsia="宋体" w:cs="宋体"/>
          <w:sz w:val="24"/>
          <w:szCs w:val="24"/>
        </w:rPr>
      </w:pPr>
      <w:r>
        <w:rPr>
          <w:rFonts w:hint="eastAsia" w:ascii="宋体" w:hAnsi="宋体" w:eastAsia="宋体" w:cs="宋体"/>
          <w:sz w:val="24"/>
          <w:szCs w:val="24"/>
        </w:rPr>
        <w:t>6.2.4 苗期管理：出苗后及时辅助幼苗出土，防止闷苗灼伤；</w:t>
      </w:r>
      <w:r>
        <w:rPr>
          <w:rFonts w:hint="eastAsia" w:ascii="宋体" w:hAnsi="宋体" w:eastAsia="宋体" w:cs="宋体"/>
          <w:sz w:val="24"/>
          <w:szCs w:val="24"/>
          <w:lang w:eastAsia="zh-CN"/>
        </w:rPr>
        <w:t>及时</w:t>
      </w:r>
      <w:r>
        <w:rPr>
          <w:rFonts w:hint="eastAsia" w:ascii="宋体" w:hAnsi="宋体" w:eastAsia="宋体" w:cs="宋体"/>
          <w:sz w:val="24"/>
          <w:szCs w:val="24"/>
        </w:rPr>
        <w:t>排水</w:t>
      </w:r>
      <w:r>
        <w:rPr>
          <w:rFonts w:hint="eastAsia" w:ascii="宋体" w:hAnsi="宋体" w:eastAsia="宋体" w:cs="宋体"/>
          <w:sz w:val="24"/>
          <w:szCs w:val="24"/>
          <w:lang w:eastAsia="zh-CN"/>
        </w:rPr>
        <w:t>，</w:t>
      </w:r>
      <w:r>
        <w:rPr>
          <w:rFonts w:hint="eastAsia" w:ascii="宋体" w:hAnsi="宋体" w:eastAsia="宋体" w:cs="宋体"/>
          <w:sz w:val="24"/>
          <w:szCs w:val="24"/>
        </w:rPr>
        <w:t>适度补水；地膜育苗以物理抑草为主，仅对孔穴周边少量杂草人工拔除；出苗率≥90%，壮苗率≥85%</w:t>
      </w:r>
      <w:r>
        <w:rPr>
          <w:rFonts w:hint="eastAsia" w:ascii="宋体" w:hAnsi="宋体" w:eastAsia="宋体" w:cs="宋体"/>
          <w:sz w:val="24"/>
          <w:szCs w:val="24"/>
          <w:lang w:eastAsia="zh-CN"/>
        </w:rPr>
        <w:t>，</w:t>
      </w:r>
      <w:r>
        <w:rPr>
          <w:rFonts w:hint="eastAsia" w:ascii="宋体" w:hAnsi="宋体" w:eastAsia="宋体" w:cs="宋体"/>
          <w:sz w:val="24"/>
          <w:szCs w:val="24"/>
        </w:rPr>
        <w:t>育苗周期</w:t>
      </w:r>
      <w:r>
        <w:rPr>
          <w:rFonts w:hint="eastAsia" w:ascii="宋体" w:hAnsi="宋体" w:eastAsia="宋体" w:cs="宋体"/>
          <w:sz w:val="24"/>
          <w:szCs w:val="24"/>
          <w:lang w:val="en-US" w:eastAsia="zh-CN"/>
        </w:rPr>
        <w:t>1</w:t>
      </w:r>
      <w:r>
        <w:rPr>
          <w:rFonts w:hint="eastAsia" w:ascii="宋体" w:hAnsi="宋体" w:eastAsia="宋体" w:cs="宋体"/>
          <w:sz w:val="24"/>
          <w:szCs w:val="24"/>
        </w:rPr>
        <w:t>年</w:t>
      </w:r>
      <w:r>
        <w:rPr>
          <w:rFonts w:hint="eastAsia" w:ascii="宋体" w:hAnsi="宋体" w:eastAsia="宋体" w:cs="宋体"/>
          <w:sz w:val="24"/>
          <w:szCs w:val="24"/>
          <w:lang w:eastAsia="zh-CN"/>
        </w:rPr>
        <w:t>，</w:t>
      </w:r>
      <w:r>
        <w:rPr>
          <w:rFonts w:hint="eastAsia" w:ascii="宋体" w:hAnsi="宋体" w:eastAsia="宋体" w:cs="宋体"/>
          <w:sz w:val="24"/>
          <w:szCs w:val="24"/>
        </w:rPr>
        <w:t>育苗结束后回收残膜。</w:t>
      </w:r>
      <w:bookmarkStart w:id="21" w:name="heading_21"/>
    </w:p>
    <w:p w14:paraId="633DC90F">
      <w:pPr>
        <w:spacing w:before="120" w:after="120" w:line="288" w:lineRule="auto"/>
        <w:ind w:left="0"/>
        <w:jc w:val="both"/>
        <w:rPr>
          <w:rFonts w:hint="eastAsia" w:ascii="宋体" w:hAnsi="宋体" w:eastAsia="宋体" w:cs="宋体"/>
          <w:sz w:val="24"/>
          <w:szCs w:val="24"/>
        </w:rPr>
      </w:pPr>
      <w:r>
        <w:rPr>
          <w:rFonts w:hint="eastAsia" w:ascii="宋体" w:hAnsi="宋体" w:eastAsia="宋体" w:cs="宋体"/>
          <w:b/>
          <w:sz w:val="24"/>
          <w:szCs w:val="24"/>
        </w:rPr>
        <w:t>6.3 种苗分级</w:t>
      </w:r>
      <w:bookmarkEnd w:id="21"/>
    </w:p>
    <w:p w14:paraId="7114D847">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一级苗：根长≥20cm，根径0.5cm</w:t>
      </w:r>
      <w:r>
        <w:rPr>
          <w:rFonts w:hint="eastAsia" w:ascii="宋体" w:hAnsi="宋体" w:eastAsia="宋体" w:cs="宋体"/>
          <w:sz w:val="24"/>
          <w:szCs w:val="24"/>
          <w:lang w:val="en-US" w:eastAsia="zh-CN"/>
        </w:rPr>
        <w:t>-</w:t>
      </w:r>
      <w:r>
        <w:rPr>
          <w:rFonts w:hint="eastAsia" w:ascii="宋体" w:hAnsi="宋体" w:eastAsia="宋体" w:cs="宋体"/>
          <w:sz w:val="24"/>
          <w:szCs w:val="24"/>
        </w:rPr>
        <w:t>0.6cm；芽体饱满，无病虫，无机械损伤。</w:t>
      </w:r>
    </w:p>
    <w:p w14:paraId="6E43A07A">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二级苗：根长15cm</w:t>
      </w:r>
      <w:r>
        <w:rPr>
          <w:rFonts w:hint="eastAsia" w:ascii="宋体" w:hAnsi="宋体" w:eastAsia="宋体" w:cs="宋体"/>
          <w:sz w:val="24"/>
          <w:szCs w:val="24"/>
          <w:lang w:val="en-US" w:eastAsia="zh-CN"/>
        </w:rPr>
        <w:t>-</w:t>
      </w:r>
      <w:r>
        <w:rPr>
          <w:rFonts w:hint="eastAsia" w:ascii="宋体" w:hAnsi="宋体" w:eastAsia="宋体" w:cs="宋体"/>
          <w:sz w:val="24"/>
          <w:szCs w:val="24"/>
        </w:rPr>
        <w:t>20cm，根径0.3cm</w:t>
      </w:r>
      <w:r>
        <w:rPr>
          <w:rFonts w:hint="eastAsia" w:ascii="宋体" w:hAnsi="宋体" w:eastAsia="宋体" w:cs="宋体"/>
          <w:sz w:val="24"/>
          <w:szCs w:val="24"/>
          <w:lang w:val="en-US" w:eastAsia="zh-CN"/>
        </w:rPr>
        <w:t>-</w:t>
      </w:r>
      <w:r>
        <w:rPr>
          <w:rFonts w:hint="eastAsia" w:ascii="宋体" w:hAnsi="宋体" w:eastAsia="宋体" w:cs="宋体"/>
          <w:sz w:val="24"/>
          <w:szCs w:val="24"/>
        </w:rPr>
        <w:t>0.5cm；芽体饱满，无病虫，无机械损伤。</w:t>
      </w:r>
    </w:p>
    <w:p w14:paraId="5863EDF8">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auto"/>
          <w:sz w:val="24"/>
          <w:szCs w:val="24"/>
        </w:rPr>
        <w:t>低于二级苗</w:t>
      </w:r>
      <w:r>
        <w:rPr>
          <w:rFonts w:hint="eastAsia" w:ascii="宋体" w:hAnsi="宋体" w:eastAsia="宋体" w:cs="宋体"/>
          <w:color w:val="auto"/>
          <w:sz w:val="24"/>
          <w:szCs w:val="24"/>
          <w:lang w:eastAsia="zh-CN"/>
        </w:rPr>
        <w:t>标准</w:t>
      </w:r>
      <w:r>
        <w:rPr>
          <w:rFonts w:hint="eastAsia" w:ascii="宋体" w:hAnsi="宋体" w:eastAsia="宋体" w:cs="宋体"/>
          <w:color w:val="auto"/>
          <w:sz w:val="24"/>
          <w:szCs w:val="24"/>
        </w:rPr>
        <w:t>不作为大田移栽用苗</w:t>
      </w:r>
      <w:r>
        <w:rPr>
          <w:rFonts w:hint="eastAsia" w:ascii="宋体" w:hAnsi="宋体" w:eastAsia="宋体" w:cs="宋体"/>
          <w:color w:val="646A73"/>
          <w:sz w:val="24"/>
          <w:szCs w:val="24"/>
        </w:rPr>
        <w:t>。</w:t>
      </w:r>
    </w:p>
    <w:p w14:paraId="409566BB">
      <w:pPr>
        <w:spacing w:before="300" w:after="120" w:line="288" w:lineRule="auto"/>
        <w:ind w:left="0"/>
        <w:jc w:val="left"/>
        <w:outlineLvl w:val="2"/>
        <w:rPr>
          <w:rFonts w:hint="eastAsia" w:ascii="宋体" w:hAnsi="宋体" w:eastAsia="宋体" w:cs="宋体"/>
          <w:b/>
          <w:sz w:val="24"/>
          <w:szCs w:val="24"/>
        </w:rPr>
      </w:pPr>
      <w:bookmarkStart w:id="22" w:name="heading_22"/>
      <w:r>
        <w:rPr>
          <w:rFonts w:hint="eastAsia" w:ascii="宋体" w:hAnsi="宋体" w:eastAsia="宋体" w:cs="宋体"/>
          <w:b/>
          <w:sz w:val="24"/>
          <w:szCs w:val="24"/>
        </w:rPr>
        <w:t>6.4 起苗与种苗储运</w:t>
      </w:r>
      <w:bookmarkEnd w:id="22"/>
    </w:p>
    <w:p w14:paraId="5A734B7E">
      <w:pPr>
        <w:keepNext w:val="0"/>
        <w:keepLines w:val="0"/>
        <w:pageBreakBefore w:val="0"/>
        <w:widowControl w:val="0"/>
        <w:kinsoku/>
        <w:wordWrap/>
        <w:overflowPunct/>
        <w:topLinePunct w:val="0"/>
        <w:autoSpaceDE/>
        <w:autoSpaceDN/>
        <w:bidi w:val="0"/>
        <w:adjustRightInd/>
        <w:snapToGrid/>
        <w:spacing w:before="300" w:after="120" w:line="288" w:lineRule="auto"/>
        <w:ind w:left="0" w:firstLine="480" w:firstLineChars="200"/>
        <w:jc w:val="left"/>
        <w:textAlignment w:val="auto"/>
        <w:outlineLvl w:val="2"/>
        <w:rPr>
          <w:rFonts w:hint="eastAsia" w:ascii="宋体" w:hAnsi="宋体" w:eastAsia="宋体" w:cs="宋体"/>
          <w:sz w:val="24"/>
          <w:szCs w:val="24"/>
        </w:rPr>
      </w:pPr>
      <w:r>
        <w:rPr>
          <w:rFonts w:hint="eastAsia" w:ascii="宋体" w:hAnsi="宋体" w:eastAsia="宋体" w:cs="宋体"/>
          <w:sz w:val="24"/>
          <w:szCs w:val="24"/>
        </w:rPr>
        <w:t>秋季地上部分枯萎或春季萌动前起苗</w:t>
      </w:r>
      <w:r>
        <w:rPr>
          <w:rFonts w:hint="eastAsia" w:ascii="宋体" w:hAnsi="宋体" w:eastAsia="宋体" w:cs="宋体"/>
          <w:sz w:val="24"/>
          <w:szCs w:val="24"/>
          <w:lang w:eastAsia="zh-CN"/>
        </w:rPr>
        <w:t>，</w:t>
      </w:r>
      <w:r>
        <w:rPr>
          <w:rFonts w:hint="eastAsia" w:ascii="宋体" w:hAnsi="宋体" w:eastAsia="宋体" w:cs="宋体"/>
          <w:sz w:val="24"/>
          <w:szCs w:val="24"/>
        </w:rPr>
        <w:t>避免折断根系</w:t>
      </w:r>
      <w:r>
        <w:rPr>
          <w:rFonts w:hint="eastAsia" w:ascii="宋体" w:hAnsi="宋体" w:eastAsia="宋体" w:cs="宋体"/>
          <w:sz w:val="24"/>
          <w:szCs w:val="24"/>
          <w:lang w:eastAsia="zh-CN"/>
        </w:rPr>
        <w:t>，</w:t>
      </w:r>
      <w:r>
        <w:rPr>
          <w:rFonts w:hint="eastAsia" w:ascii="宋体" w:hAnsi="宋体" w:eastAsia="宋体" w:cs="宋体"/>
          <w:sz w:val="24"/>
          <w:szCs w:val="24"/>
        </w:rPr>
        <w:t>剔除病伤苗</w:t>
      </w:r>
      <w:r>
        <w:rPr>
          <w:rFonts w:hint="eastAsia" w:ascii="宋体" w:hAnsi="宋体" w:eastAsia="宋体" w:cs="宋体"/>
          <w:sz w:val="24"/>
          <w:szCs w:val="24"/>
          <w:lang w:eastAsia="zh-CN"/>
        </w:rPr>
        <w:t>，按标准</w:t>
      </w:r>
      <w:r>
        <w:rPr>
          <w:rFonts w:hint="eastAsia" w:ascii="宋体" w:hAnsi="宋体" w:eastAsia="宋体" w:cs="宋体"/>
          <w:sz w:val="24"/>
          <w:szCs w:val="24"/>
        </w:rPr>
        <w:t>分级</w:t>
      </w:r>
      <w:r>
        <w:rPr>
          <w:rFonts w:hint="eastAsia" w:ascii="宋体" w:hAnsi="宋体" w:eastAsia="宋体" w:cs="宋体"/>
          <w:sz w:val="24"/>
          <w:szCs w:val="24"/>
          <w:lang w:eastAsia="zh-CN"/>
        </w:rPr>
        <w:t>，</w:t>
      </w:r>
      <w:r>
        <w:rPr>
          <w:rFonts w:hint="eastAsia" w:ascii="宋体" w:hAnsi="宋体" w:eastAsia="宋体" w:cs="宋体"/>
          <w:sz w:val="24"/>
          <w:szCs w:val="24"/>
        </w:rPr>
        <w:t>保湿</w:t>
      </w:r>
      <w:r>
        <w:rPr>
          <w:rFonts w:hint="eastAsia" w:ascii="宋体" w:hAnsi="宋体" w:eastAsia="宋体" w:cs="宋体"/>
          <w:sz w:val="24"/>
          <w:szCs w:val="24"/>
          <w:lang w:eastAsia="zh-CN"/>
        </w:rPr>
        <w:t>运输</w:t>
      </w:r>
      <w:r>
        <w:rPr>
          <w:rFonts w:hint="eastAsia" w:ascii="宋体" w:hAnsi="宋体" w:eastAsia="宋体" w:cs="宋体"/>
          <w:sz w:val="24"/>
          <w:szCs w:val="24"/>
        </w:rPr>
        <w:t>，</w:t>
      </w:r>
      <w:r>
        <w:rPr>
          <w:rFonts w:hint="eastAsia" w:ascii="宋体" w:hAnsi="宋体" w:eastAsia="宋体" w:cs="宋体"/>
          <w:sz w:val="24"/>
          <w:szCs w:val="24"/>
          <w:lang w:eastAsia="zh-CN"/>
        </w:rPr>
        <w:t>防止</w:t>
      </w:r>
      <w:r>
        <w:rPr>
          <w:rFonts w:hint="eastAsia" w:ascii="宋体" w:hAnsi="宋体" w:eastAsia="宋体" w:cs="宋体"/>
          <w:sz w:val="24"/>
          <w:szCs w:val="24"/>
        </w:rPr>
        <w:t>挤压、暴晒、失水。</w:t>
      </w:r>
    </w:p>
    <w:p w14:paraId="701F7C7B">
      <w:pPr>
        <w:spacing w:before="320" w:after="120" w:line="288" w:lineRule="auto"/>
        <w:ind w:left="0"/>
        <w:jc w:val="left"/>
        <w:outlineLvl w:val="1"/>
        <w:rPr>
          <w:rFonts w:hint="eastAsia" w:ascii="宋体" w:hAnsi="宋体" w:eastAsia="宋体" w:cs="宋体"/>
          <w:sz w:val="24"/>
          <w:szCs w:val="24"/>
        </w:rPr>
      </w:pPr>
      <w:bookmarkStart w:id="23" w:name="heading_23"/>
      <w:r>
        <w:rPr>
          <w:rFonts w:hint="eastAsia" w:ascii="宋体" w:hAnsi="宋体" w:eastAsia="宋体" w:cs="宋体"/>
          <w:b/>
          <w:sz w:val="24"/>
          <w:szCs w:val="24"/>
        </w:rPr>
        <w:t>7 规范化种植</w:t>
      </w:r>
      <w:bookmarkEnd w:id="23"/>
    </w:p>
    <w:p w14:paraId="3B6EF586">
      <w:pPr>
        <w:spacing w:before="300" w:after="120" w:line="288" w:lineRule="auto"/>
        <w:ind w:left="0"/>
        <w:jc w:val="left"/>
        <w:outlineLvl w:val="2"/>
        <w:rPr>
          <w:rFonts w:hint="eastAsia" w:ascii="宋体" w:hAnsi="宋体" w:eastAsia="宋体" w:cs="宋体"/>
          <w:sz w:val="24"/>
          <w:szCs w:val="24"/>
        </w:rPr>
      </w:pPr>
      <w:bookmarkStart w:id="24" w:name="heading_24"/>
      <w:r>
        <w:rPr>
          <w:rFonts w:hint="eastAsia" w:ascii="宋体" w:hAnsi="宋体" w:eastAsia="宋体" w:cs="宋体"/>
          <w:b/>
          <w:sz w:val="24"/>
          <w:szCs w:val="24"/>
        </w:rPr>
        <w:t>7.1 选地整地</w:t>
      </w:r>
      <w:bookmarkEnd w:id="24"/>
    </w:p>
    <w:p w14:paraId="2DB45B2F">
      <w:pPr>
        <w:keepNext w:val="0"/>
        <w:keepLines w:val="0"/>
        <w:pageBreakBefore w:val="0"/>
        <w:widowControl w:val="0"/>
        <w:kinsoku/>
        <w:wordWrap/>
        <w:overflowPunct/>
        <w:topLinePunct w:val="0"/>
        <w:autoSpaceDE/>
        <w:autoSpaceDN/>
        <w:bidi w:val="0"/>
        <w:adjustRightInd/>
        <w:snapToGrid/>
        <w:spacing w:before="120" w:after="120" w:line="288"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宜选半阴半阳、排水良好</w:t>
      </w:r>
      <w:r>
        <w:rPr>
          <w:rFonts w:hint="eastAsia" w:ascii="宋体" w:hAnsi="宋体" w:eastAsia="宋体" w:cs="宋体"/>
          <w:sz w:val="24"/>
          <w:szCs w:val="24"/>
          <w:lang w:eastAsia="zh-CN"/>
        </w:rPr>
        <w:t>、</w:t>
      </w:r>
      <w:r>
        <w:rPr>
          <w:rFonts w:hint="eastAsia" w:ascii="宋体" w:hAnsi="宋体" w:eastAsia="宋体" w:cs="宋体"/>
          <w:sz w:val="24"/>
          <w:szCs w:val="24"/>
        </w:rPr>
        <w:t>土层深厚疏松</w:t>
      </w:r>
      <w:r>
        <w:rPr>
          <w:rFonts w:hint="eastAsia" w:ascii="宋体" w:hAnsi="宋体" w:eastAsia="宋体" w:cs="宋体"/>
          <w:sz w:val="24"/>
          <w:szCs w:val="24"/>
          <w:lang w:eastAsia="zh-CN"/>
        </w:rPr>
        <w:t>、富含腐殖质的</w:t>
      </w:r>
      <w:r>
        <w:rPr>
          <w:rFonts w:hint="eastAsia" w:ascii="宋体" w:hAnsi="宋体" w:eastAsia="宋体" w:cs="宋体"/>
          <w:sz w:val="24"/>
          <w:szCs w:val="24"/>
        </w:rPr>
        <w:t>砂质壤土</w:t>
      </w:r>
      <w:r>
        <w:rPr>
          <w:rFonts w:hint="eastAsia" w:ascii="宋体" w:hAnsi="宋体" w:eastAsia="宋体" w:cs="宋体"/>
          <w:sz w:val="24"/>
          <w:szCs w:val="24"/>
          <w:lang w:eastAsia="zh-CN"/>
        </w:rPr>
        <w:t>、黄棕壤</w:t>
      </w:r>
      <w:r>
        <w:rPr>
          <w:rFonts w:hint="eastAsia" w:ascii="宋体" w:hAnsi="宋体" w:eastAsia="宋体" w:cs="宋体"/>
          <w:sz w:val="24"/>
          <w:szCs w:val="24"/>
        </w:rPr>
        <w:t>；忌低洼积水、重茬地块。深翻25cm</w:t>
      </w:r>
      <w:r>
        <w:rPr>
          <w:rFonts w:hint="eastAsia" w:ascii="宋体" w:hAnsi="宋体" w:eastAsia="宋体" w:cs="宋体"/>
          <w:sz w:val="24"/>
          <w:szCs w:val="24"/>
          <w:lang w:val="en-US" w:eastAsia="zh-CN"/>
        </w:rPr>
        <w:t>-</w:t>
      </w:r>
      <w:r>
        <w:rPr>
          <w:rFonts w:hint="eastAsia" w:ascii="宋体" w:hAnsi="宋体" w:eastAsia="宋体" w:cs="宋体"/>
          <w:sz w:val="24"/>
          <w:szCs w:val="24"/>
        </w:rPr>
        <w:t>35cm</w:t>
      </w:r>
      <w:r>
        <w:rPr>
          <w:rFonts w:hint="eastAsia" w:ascii="宋体" w:hAnsi="宋体" w:eastAsia="宋体" w:cs="宋体"/>
          <w:sz w:val="24"/>
          <w:szCs w:val="24"/>
          <w:lang w:eastAsia="zh-CN"/>
        </w:rPr>
        <w:t>，</w:t>
      </w:r>
      <w:r>
        <w:rPr>
          <w:rFonts w:hint="eastAsia" w:ascii="宋体" w:hAnsi="宋体" w:eastAsia="宋体" w:cs="宋体"/>
          <w:sz w:val="24"/>
          <w:szCs w:val="24"/>
        </w:rPr>
        <w:t>每667㎡施腐熟农家肥1500kg</w:t>
      </w:r>
      <w:r>
        <w:rPr>
          <w:rFonts w:hint="eastAsia" w:ascii="宋体" w:hAnsi="宋体" w:eastAsia="宋体" w:cs="宋体"/>
          <w:sz w:val="24"/>
          <w:szCs w:val="24"/>
          <w:lang w:val="en-US" w:eastAsia="zh-CN"/>
        </w:rPr>
        <w:t>-</w:t>
      </w:r>
      <w:r>
        <w:rPr>
          <w:rFonts w:hint="eastAsia" w:ascii="宋体" w:hAnsi="宋体" w:eastAsia="宋体" w:cs="宋体"/>
          <w:sz w:val="24"/>
          <w:szCs w:val="24"/>
        </w:rPr>
        <w:t>2000kg，配施生物有机肥50kg</w:t>
      </w:r>
      <w:r>
        <w:rPr>
          <w:rFonts w:hint="eastAsia" w:ascii="宋体" w:hAnsi="宋体" w:eastAsia="宋体" w:cs="宋体"/>
          <w:sz w:val="24"/>
          <w:szCs w:val="24"/>
          <w:lang w:val="en-US" w:eastAsia="zh-CN"/>
        </w:rPr>
        <w:t>-</w:t>
      </w:r>
      <w:r>
        <w:rPr>
          <w:rFonts w:hint="eastAsia" w:ascii="宋体" w:hAnsi="宋体" w:eastAsia="宋体" w:cs="宋体"/>
          <w:sz w:val="24"/>
          <w:szCs w:val="24"/>
        </w:rPr>
        <w:t>80kg</w:t>
      </w:r>
      <w:r>
        <w:rPr>
          <w:rFonts w:hint="eastAsia" w:ascii="宋体" w:hAnsi="宋体" w:eastAsia="宋体" w:cs="宋体"/>
          <w:sz w:val="24"/>
          <w:szCs w:val="24"/>
          <w:lang w:eastAsia="zh-CN"/>
        </w:rPr>
        <w:t>，</w:t>
      </w:r>
      <w:r>
        <w:rPr>
          <w:rFonts w:hint="eastAsia" w:ascii="宋体" w:hAnsi="宋体" w:eastAsia="宋体" w:cs="宋体"/>
          <w:sz w:val="24"/>
          <w:szCs w:val="24"/>
        </w:rPr>
        <w:t>起高畦，畦宽120cm，畦沟深20cm</w:t>
      </w:r>
      <w:r>
        <w:rPr>
          <w:rFonts w:hint="eastAsia" w:ascii="宋体" w:hAnsi="宋体" w:eastAsia="宋体" w:cs="宋体"/>
          <w:sz w:val="24"/>
          <w:szCs w:val="24"/>
          <w:lang w:val="en-US" w:eastAsia="zh-CN"/>
        </w:rPr>
        <w:t>-</w:t>
      </w:r>
      <w:r>
        <w:rPr>
          <w:rFonts w:hint="eastAsia" w:ascii="宋体" w:hAnsi="宋体" w:eastAsia="宋体" w:cs="宋体"/>
          <w:sz w:val="24"/>
          <w:szCs w:val="24"/>
        </w:rPr>
        <w:t>25cm，保证排水通畅。</w:t>
      </w:r>
    </w:p>
    <w:p w14:paraId="08FD3E26">
      <w:pPr>
        <w:spacing w:before="300" w:after="120" w:line="288" w:lineRule="auto"/>
        <w:ind w:left="0"/>
        <w:jc w:val="left"/>
        <w:outlineLvl w:val="2"/>
        <w:rPr>
          <w:rFonts w:hint="eastAsia" w:ascii="宋体" w:hAnsi="宋体" w:eastAsia="宋体" w:cs="宋体"/>
          <w:b/>
          <w:sz w:val="24"/>
          <w:szCs w:val="24"/>
        </w:rPr>
      </w:pPr>
      <w:bookmarkStart w:id="25" w:name="heading_25"/>
      <w:r>
        <w:rPr>
          <w:rFonts w:hint="eastAsia" w:ascii="宋体" w:hAnsi="宋体" w:eastAsia="宋体" w:cs="宋体"/>
          <w:b/>
          <w:sz w:val="24"/>
          <w:szCs w:val="24"/>
        </w:rPr>
        <w:t>7.2 直播</w:t>
      </w:r>
      <w:bookmarkEnd w:id="25"/>
    </w:p>
    <w:p w14:paraId="63D5DE53">
      <w:pPr>
        <w:keepNext w:val="0"/>
        <w:keepLines w:val="0"/>
        <w:pageBreakBefore w:val="0"/>
        <w:widowControl w:val="0"/>
        <w:kinsoku/>
        <w:wordWrap/>
        <w:overflowPunct/>
        <w:topLinePunct w:val="0"/>
        <w:autoSpaceDE/>
        <w:autoSpaceDN/>
        <w:bidi w:val="0"/>
        <w:adjustRightInd/>
        <w:snapToGrid/>
        <w:spacing w:before="300" w:after="120" w:line="288" w:lineRule="auto"/>
        <w:ind w:left="0" w:firstLine="480" w:firstLineChars="200"/>
        <w:jc w:val="left"/>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rPr>
        <w:t>春、秋两季均可</w:t>
      </w:r>
      <w:r>
        <w:rPr>
          <w:rFonts w:hint="eastAsia" w:ascii="宋体" w:hAnsi="宋体" w:eastAsia="宋体" w:cs="宋体"/>
          <w:sz w:val="24"/>
          <w:szCs w:val="24"/>
          <w:lang w:eastAsia="zh-CN"/>
        </w:rPr>
        <w:t>。采用条播方式，将</w:t>
      </w:r>
      <w:r>
        <w:rPr>
          <w:rFonts w:hint="eastAsia" w:ascii="宋体" w:hAnsi="宋体" w:eastAsia="宋体" w:cs="宋体"/>
          <w:sz w:val="24"/>
          <w:szCs w:val="24"/>
        </w:rPr>
        <w:t>种子均匀撒入播种沟，覆薄土</w:t>
      </w:r>
      <w:r>
        <w:rPr>
          <w:rFonts w:hint="eastAsia" w:ascii="宋体" w:hAnsi="宋体" w:eastAsia="宋体" w:cs="宋体"/>
          <w:sz w:val="24"/>
          <w:szCs w:val="24"/>
          <w:lang w:eastAsia="zh-CN"/>
        </w:rPr>
        <w:t>，</w:t>
      </w:r>
      <w:r>
        <w:rPr>
          <w:rFonts w:hint="eastAsia" w:ascii="宋体" w:hAnsi="宋体" w:eastAsia="宋体" w:cs="宋体"/>
          <w:sz w:val="24"/>
          <w:szCs w:val="24"/>
        </w:rPr>
        <w:t>每667㎡用种量1.0kg</w:t>
      </w:r>
      <w:r>
        <w:rPr>
          <w:rFonts w:hint="eastAsia" w:ascii="宋体" w:hAnsi="宋体" w:eastAsia="宋体" w:cs="宋体"/>
          <w:sz w:val="24"/>
          <w:szCs w:val="24"/>
          <w:lang w:val="en-US" w:eastAsia="zh-CN"/>
        </w:rPr>
        <w:t>-</w:t>
      </w:r>
      <w:r>
        <w:rPr>
          <w:rFonts w:hint="eastAsia" w:ascii="宋体" w:hAnsi="宋体" w:eastAsia="宋体" w:cs="宋体"/>
          <w:sz w:val="24"/>
          <w:szCs w:val="24"/>
        </w:rPr>
        <w:t>1.5kg</w:t>
      </w:r>
      <w:r>
        <w:rPr>
          <w:rFonts w:hint="eastAsia" w:ascii="宋体" w:hAnsi="宋体" w:eastAsia="宋体" w:cs="宋体"/>
          <w:sz w:val="24"/>
          <w:szCs w:val="24"/>
          <w:lang w:eastAsia="zh-CN"/>
        </w:rPr>
        <w:t>，</w:t>
      </w:r>
      <w:r>
        <w:rPr>
          <w:rFonts w:hint="eastAsia" w:ascii="宋体" w:hAnsi="宋体" w:eastAsia="宋体" w:cs="宋体"/>
          <w:sz w:val="24"/>
          <w:szCs w:val="24"/>
        </w:rPr>
        <w:t>出苗后间苗定苗</w:t>
      </w:r>
      <w:r>
        <w:rPr>
          <w:rFonts w:hint="eastAsia" w:ascii="宋体" w:hAnsi="宋体" w:eastAsia="宋体" w:cs="宋体"/>
          <w:sz w:val="24"/>
          <w:szCs w:val="24"/>
          <w:lang w:eastAsia="zh-CN"/>
        </w:rPr>
        <w:t>，留苗</w:t>
      </w:r>
      <w:r>
        <w:rPr>
          <w:rFonts w:hint="eastAsia" w:ascii="宋体" w:hAnsi="宋体" w:eastAsia="宋体" w:cs="宋体"/>
          <w:sz w:val="24"/>
          <w:szCs w:val="24"/>
          <w:lang w:val="en-US" w:eastAsia="zh-CN"/>
        </w:rPr>
        <w:t>2-2.5万株。</w:t>
      </w:r>
    </w:p>
    <w:p w14:paraId="1AAB28BC">
      <w:pPr>
        <w:spacing w:before="300" w:after="120" w:line="288" w:lineRule="auto"/>
        <w:ind w:left="0"/>
        <w:jc w:val="left"/>
        <w:outlineLvl w:val="2"/>
        <w:rPr>
          <w:rFonts w:hint="eastAsia" w:ascii="宋体" w:hAnsi="宋体" w:eastAsia="宋体" w:cs="宋体"/>
          <w:sz w:val="24"/>
          <w:szCs w:val="24"/>
        </w:rPr>
      </w:pPr>
      <w:bookmarkStart w:id="26" w:name="heading_26"/>
      <w:r>
        <w:rPr>
          <w:rFonts w:hint="eastAsia" w:ascii="宋体" w:hAnsi="宋体" w:eastAsia="宋体" w:cs="宋体"/>
          <w:b/>
          <w:sz w:val="24"/>
          <w:szCs w:val="24"/>
        </w:rPr>
        <w:t>7.3 移栽</w:t>
      </w:r>
      <w:bookmarkEnd w:id="26"/>
    </w:p>
    <w:p w14:paraId="74B8AAE1">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7.3.1 移栽时期：春栽2月</w:t>
      </w:r>
      <w:r>
        <w:rPr>
          <w:rFonts w:hint="eastAsia" w:ascii="宋体" w:hAnsi="宋体" w:eastAsia="宋体" w:cs="宋体"/>
          <w:sz w:val="24"/>
          <w:szCs w:val="24"/>
          <w:lang w:val="en-US" w:eastAsia="zh-CN"/>
        </w:rPr>
        <w:t>-</w:t>
      </w:r>
      <w:r>
        <w:rPr>
          <w:rFonts w:hint="eastAsia" w:ascii="宋体" w:hAnsi="宋体" w:eastAsia="宋体" w:cs="宋体"/>
          <w:sz w:val="24"/>
          <w:szCs w:val="24"/>
        </w:rPr>
        <w:t>4月（芽萌动前）</w:t>
      </w:r>
      <w:r>
        <w:rPr>
          <w:rFonts w:hint="eastAsia" w:ascii="宋体" w:hAnsi="宋体" w:eastAsia="宋体" w:cs="宋体"/>
          <w:sz w:val="24"/>
          <w:szCs w:val="24"/>
          <w:lang w:eastAsia="zh-CN"/>
        </w:rPr>
        <w:t>，</w:t>
      </w:r>
      <w:r>
        <w:rPr>
          <w:rFonts w:hint="eastAsia" w:ascii="宋体" w:hAnsi="宋体" w:eastAsia="宋体" w:cs="宋体"/>
          <w:sz w:val="24"/>
          <w:szCs w:val="24"/>
        </w:rPr>
        <w:t>秋栽10月</w:t>
      </w:r>
      <w:r>
        <w:rPr>
          <w:rFonts w:hint="eastAsia" w:ascii="宋体" w:hAnsi="宋体" w:eastAsia="宋体" w:cs="宋体"/>
          <w:sz w:val="24"/>
          <w:szCs w:val="24"/>
          <w:lang w:val="en-US" w:eastAsia="zh-CN"/>
        </w:rPr>
        <w:t>-</w:t>
      </w:r>
      <w:r>
        <w:rPr>
          <w:rFonts w:hint="eastAsia" w:ascii="宋体" w:hAnsi="宋体" w:eastAsia="宋体" w:cs="宋体"/>
          <w:sz w:val="24"/>
          <w:szCs w:val="24"/>
        </w:rPr>
        <w:t>11月（地上部分枯萎后）</w:t>
      </w:r>
      <w:r>
        <w:rPr>
          <w:rFonts w:hint="eastAsia" w:ascii="宋体" w:hAnsi="宋体" w:eastAsia="宋体" w:cs="宋体"/>
          <w:sz w:val="24"/>
          <w:szCs w:val="24"/>
          <w:lang w:eastAsia="zh-CN"/>
        </w:rPr>
        <w:t>，</w:t>
      </w:r>
      <w:r>
        <w:rPr>
          <w:rFonts w:hint="eastAsia" w:ascii="宋体" w:hAnsi="宋体" w:eastAsia="宋体" w:cs="宋体"/>
          <w:sz w:val="24"/>
          <w:szCs w:val="24"/>
        </w:rPr>
        <w:t>优先选择阴天移栽。</w:t>
      </w:r>
    </w:p>
    <w:p w14:paraId="626E9187">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7.3.2 栽植</w:t>
      </w:r>
      <w:r>
        <w:rPr>
          <w:rFonts w:hint="eastAsia" w:ascii="宋体" w:hAnsi="宋体" w:eastAsia="宋体" w:cs="宋体"/>
          <w:sz w:val="24"/>
          <w:szCs w:val="24"/>
          <w:lang w:eastAsia="zh-CN"/>
        </w:rPr>
        <w:t>规格</w:t>
      </w:r>
      <w:r>
        <w:rPr>
          <w:rFonts w:hint="eastAsia" w:ascii="宋体" w:hAnsi="宋体" w:eastAsia="宋体" w:cs="宋体"/>
          <w:sz w:val="24"/>
          <w:szCs w:val="24"/>
        </w:rPr>
        <w:t>：</w:t>
      </w:r>
      <w:r>
        <w:rPr>
          <w:rFonts w:hint="eastAsia" w:ascii="宋体" w:hAnsi="宋体" w:eastAsia="宋体" w:cs="宋体"/>
          <w:sz w:val="24"/>
          <w:szCs w:val="24"/>
          <w:lang w:eastAsia="zh-CN"/>
        </w:rPr>
        <w:t>按</w:t>
      </w:r>
      <w:r>
        <w:rPr>
          <w:rFonts w:hint="eastAsia" w:ascii="宋体" w:hAnsi="宋体" w:eastAsia="宋体" w:cs="宋体"/>
          <w:sz w:val="24"/>
          <w:szCs w:val="24"/>
        </w:rPr>
        <w:t>行距25cm</w:t>
      </w:r>
      <w:r>
        <w:rPr>
          <w:rFonts w:hint="eastAsia" w:ascii="宋体" w:hAnsi="宋体" w:eastAsia="宋体" w:cs="宋体"/>
          <w:sz w:val="24"/>
          <w:szCs w:val="24"/>
          <w:lang w:val="en-US" w:eastAsia="zh-CN"/>
        </w:rPr>
        <w:t>-</w:t>
      </w:r>
      <w:r>
        <w:rPr>
          <w:rFonts w:hint="eastAsia" w:ascii="宋体" w:hAnsi="宋体" w:eastAsia="宋体" w:cs="宋体"/>
          <w:sz w:val="24"/>
          <w:szCs w:val="24"/>
        </w:rPr>
        <w:t>30cm</w:t>
      </w:r>
      <w:r>
        <w:rPr>
          <w:rFonts w:hint="eastAsia" w:ascii="宋体" w:hAnsi="宋体" w:eastAsia="宋体" w:cs="宋体"/>
          <w:sz w:val="24"/>
          <w:szCs w:val="24"/>
          <w:lang w:eastAsia="zh-CN"/>
        </w:rPr>
        <w:t>开浅沟</w:t>
      </w:r>
      <w:r>
        <w:rPr>
          <w:rFonts w:hint="eastAsia" w:ascii="宋体" w:hAnsi="宋体" w:eastAsia="宋体" w:cs="宋体"/>
          <w:sz w:val="24"/>
          <w:szCs w:val="24"/>
        </w:rPr>
        <w:t>，</w:t>
      </w:r>
      <w:r>
        <w:rPr>
          <w:rFonts w:hint="eastAsia" w:ascii="宋体" w:hAnsi="宋体" w:eastAsia="宋体" w:cs="宋体"/>
          <w:sz w:val="24"/>
          <w:szCs w:val="24"/>
          <w:lang w:eastAsia="zh-CN"/>
        </w:rPr>
        <w:t>沟深</w:t>
      </w:r>
      <w:r>
        <w:rPr>
          <w:rFonts w:hint="eastAsia" w:ascii="宋体" w:hAnsi="宋体" w:eastAsia="宋体" w:cs="宋体"/>
          <w:sz w:val="24"/>
          <w:szCs w:val="24"/>
          <w:lang w:val="en-US" w:eastAsia="zh-CN"/>
        </w:rPr>
        <w:t>15cm-18cm，</w:t>
      </w:r>
      <w:r>
        <w:rPr>
          <w:rFonts w:hint="eastAsia" w:ascii="宋体" w:hAnsi="宋体" w:eastAsia="宋体" w:cs="宋体"/>
          <w:sz w:val="24"/>
          <w:szCs w:val="24"/>
        </w:rPr>
        <w:t>株距10cm</w:t>
      </w:r>
      <w:r>
        <w:rPr>
          <w:rFonts w:hint="eastAsia" w:ascii="宋体" w:hAnsi="宋体" w:eastAsia="宋体" w:cs="宋体"/>
          <w:sz w:val="24"/>
          <w:szCs w:val="24"/>
          <w:lang w:val="en-US" w:eastAsia="zh-CN"/>
        </w:rPr>
        <w:t>-</w:t>
      </w:r>
      <w:r>
        <w:rPr>
          <w:rFonts w:hint="eastAsia" w:ascii="宋体" w:hAnsi="宋体" w:eastAsia="宋体" w:cs="宋体"/>
          <w:sz w:val="24"/>
          <w:szCs w:val="24"/>
        </w:rPr>
        <w:t>15cm</w:t>
      </w:r>
      <w:r>
        <w:rPr>
          <w:rFonts w:hint="eastAsia" w:ascii="宋体" w:hAnsi="宋体" w:eastAsia="宋体" w:cs="宋体"/>
          <w:sz w:val="24"/>
          <w:szCs w:val="24"/>
          <w:lang w:eastAsia="zh-CN"/>
        </w:rPr>
        <w:t>，</w:t>
      </w:r>
      <w:r>
        <w:rPr>
          <w:rFonts w:hint="eastAsia" w:ascii="宋体" w:hAnsi="宋体" w:eastAsia="宋体" w:cs="宋体"/>
          <w:sz w:val="24"/>
          <w:szCs w:val="24"/>
        </w:rPr>
        <w:t>种苗斜</w:t>
      </w:r>
      <w:r>
        <w:rPr>
          <w:rFonts w:hint="eastAsia" w:ascii="宋体" w:hAnsi="宋体" w:eastAsia="宋体" w:cs="宋体"/>
          <w:sz w:val="24"/>
          <w:szCs w:val="24"/>
          <w:lang w:eastAsia="zh-CN"/>
        </w:rPr>
        <w:t>放栽植</w:t>
      </w:r>
      <w:r>
        <w:rPr>
          <w:rFonts w:hint="eastAsia" w:ascii="宋体" w:hAnsi="宋体" w:eastAsia="宋体" w:cs="宋体"/>
          <w:sz w:val="24"/>
          <w:szCs w:val="24"/>
        </w:rPr>
        <w:t>，芦头位置平齐，覆土。</w:t>
      </w:r>
    </w:p>
    <w:p w14:paraId="14BD8BD8">
      <w:pPr>
        <w:spacing w:before="120" w:after="120" w:line="288"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7.3.3 银黑地膜半膜栽植：</w:t>
      </w:r>
      <w:r>
        <w:rPr>
          <w:rFonts w:hint="eastAsia" w:ascii="宋体" w:hAnsi="宋体" w:eastAsia="宋体" w:cs="宋体"/>
          <w:color w:val="auto"/>
          <w:sz w:val="24"/>
          <w:szCs w:val="24"/>
          <w:highlight w:val="none"/>
          <w:lang w:eastAsia="zh-CN"/>
        </w:rPr>
        <w:t>选择</w:t>
      </w:r>
      <w:r>
        <w:rPr>
          <w:rFonts w:hint="eastAsia" w:ascii="宋体" w:hAnsi="宋体" w:eastAsia="宋体" w:cs="宋体"/>
          <w:color w:val="auto"/>
          <w:sz w:val="24"/>
          <w:szCs w:val="24"/>
          <w:highlight w:val="none"/>
          <w:lang w:val="en-US" w:eastAsia="zh-CN"/>
        </w:rPr>
        <w:t>40cm宽银黑地膜，种苗覆土后，在地头挖10cm浅沟埋住膜头，拉紧地膜覆膜(银面朝上)，种苗</w:t>
      </w:r>
      <w:r>
        <w:rPr>
          <w:rFonts w:hint="eastAsia" w:ascii="宋体" w:hAnsi="宋体" w:eastAsia="宋体" w:cs="宋体"/>
          <w:color w:val="auto"/>
          <w:sz w:val="24"/>
          <w:szCs w:val="24"/>
          <w:highlight w:val="none"/>
        </w:rPr>
        <w:t>芦头</w:t>
      </w:r>
      <w:r>
        <w:rPr>
          <w:rFonts w:hint="eastAsia" w:ascii="宋体" w:hAnsi="宋体" w:eastAsia="宋体" w:cs="宋体"/>
          <w:color w:val="auto"/>
          <w:sz w:val="24"/>
          <w:szCs w:val="24"/>
          <w:highlight w:val="none"/>
          <w:lang w:eastAsia="zh-CN"/>
        </w:rPr>
        <w:t>露在膜外</w:t>
      </w:r>
      <w:r>
        <w:rPr>
          <w:rFonts w:hint="eastAsia" w:ascii="宋体" w:hAnsi="宋体" w:eastAsia="宋体" w:cs="宋体"/>
          <w:color w:val="auto"/>
          <w:sz w:val="24"/>
          <w:szCs w:val="24"/>
          <w:highlight w:val="none"/>
          <w:lang w:val="en-US" w:eastAsia="zh-CN"/>
        </w:rPr>
        <w:t>1-2cm，用下一行开沟土压实上一行地膜四周，上一行与下一行呈“盖瓦式”，实现保墒增温抑草的目的</w:t>
      </w:r>
      <w:r>
        <w:rPr>
          <w:rFonts w:hint="eastAsia" w:ascii="宋体" w:hAnsi="宋体" w:eastAsia="宋体" w:cs="宋体"/>
          <w:color w:val="auto"/>
          <w:sz w:val="24"/>
          <w:szCs w:val="24"/>
          <w:highlight w:val="none"/>
        </w:rPr>
        <w:t>。</w:t>
      </w:r>
    </w:p>
    <w:p w14:paraId="58658BC9">
      <w:pPr>
        <w:spacing w:before="300" w:after="120" w:line="288" w:lineRule="auto"/>
        <w:ind w:left="0"/>
        <w:jc w:val="left"/>
        <w:outlineLvl w:val="2"/>
        <w:rPr>
          <w:rFonts w:hint="eastAsia" w:ascii="宋体" w:hAnsi="宋体" w:eastAsia="宋体" w:cs="宋体"/>
          <w:sz w:val="24"/>
          <w:szCs w:val="24"/>
        </w:rPr>
      </w:pPr>
      <w:bookmarkStart w:id="27" w:name="heading_27"/>
      <w:r>
        <w:rPr>
          <w:rFonts w:hint="eastAsia" w:ascii="宋体" w:hAnsi="宋体" w:eastAsia="宋体" w:cs="宋体"/>
          <w:b/>
          <w:sz w:val="24"/>
          <w:szCs w:val="24"/>
        </w:rPr>
        <w:t>7.4 田间管理</w:t>
      </w:r>
      <w:bookmarkEnd w:id="27"/>
    </w:p>
    <w:p w14:paraId="409E0C5A">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7.4.1 中耕除草：每年2次</w:t>
      </w:r>
      <w:r>
        <w:rPr>
          <w:rFonts w:hint="eastAsia" w:ascii="宋体" w:hAnsi="宋体" w:eastAsia="宋体" w:cs="宋体"/>
          <w:sz w:val="24"/>
          <w:szCs w:val="24"/>
          <w:lang w:val="en-US" w:eastAsia="zh-CN"/>
        </w:rPr>
        <w:t>-</w:t>
      </w:r>
      <w:r>
        <w:rPr>
          <w:rFonts w:hint="eastAsia" w:ascii="宋体" w:hAnsi="宋体" w:eastAsia="宋体" w:cs="宋体"/>
          <w:sz w:val="24"/>
          <w:szCs w:val="24"/>
        </w:rPr>
        <w:t>3次，浅锄3cm</w:t>
      </w:r>
      <w:r>
        <w:rPr>
          <w:rFonts w:hint="eastAsia" w:ascii="宋体" w:hAnsi="宋体" w:eastAsia="宋体" w:cs="宋体"/>
          <w:sz w:val="24"/>
          <w:szCs w:val="24"/>
          <w:lang w:val="en-US" w:eastAsia="zh-CN"/>
        </w:rPr>
        <w:t>-</w:t>
      </w:r>
      <w:r>
        <w:rPr>
          <w:rFonts w:hint="eastAsia" w:ascii="宋体" w:hAnsi="宋体" w:eastAsia="宋体" w:cs="宋体"/>
          <w:sz w:val="24"/>
          <w:szCs w:val="24"/>
        </w:rPr>
        <w:t>5cm，严禁深锄伤根</w:t>
      </w:r>
      <w:r>
        <w:rPr>
          <w:rFonts w:hint="eastAsia" w:ascii="宋体" w:hAnsi="宋体" w:eastAsia="宋体" w:cs="宋体"/>
          <w:sz w:val="24"/>
          <w:szCs w:val="24"/>
          <w:lang w:eastAsia="zh-CN"/>
        </w:rPr>
        <w:t>，</w:t>
      </w:r>
      <w:r>
        <w:rPr>
          <w:rFonts w:hint="eastAsia" w:ascii="宋体" w:hAnsi="宋体" w:eastAsia="宋体" w:cs="宋体"/>
          <w:sz w:val="24"/>
          <w:szCs w:val="24"/>
        </w:rPr>
        <w:t>地膜栽培主要清除膜孔杂草。</w:t>
      </w:r>
    </w:p>
    <w:p w14:paraId="32AC19D6">
      <w:pPr>
        <w:spacing w:before="120" w:after="120" w:line="288" w:lineRule="auto"/>
        <w:ind w:left="0"/>
        <w:jc w:val="left"/>
        <w:rPr>
          <w:rFonts w:hint="eastAsia" w:ascii="宋体" w:hAnsi="宋体" w:eastAsia="宋体" w:cs="宋体"/>
          <w:b w:val="0"/>
          <w:bCs/>
          <w:sz w:val="24"/>
          <w:szCs w:val="24"/>
        </w:rPr>
      </w:pPr>
      <w:r>
        <w:rPr>
          <w:rFonts w:hint="eastAsia" w:ascii="宋体" w:hAnsi="宋体" w:eastAsia="宋体" w:cs="宋体"/>
          <w:sz w:val="24"/>
          <w:szCs w:val="24"/>
        </w:rPr>
        <w:t>7.4.2 水肥管理：施用肥料应符合NY/T 496</w:t>
      </w:r>
      <w:r>
        <w:rPr>
          <w:rFonts w:hint="eastAsia" w:ascii="宋体" w:hAnsi="宋体" w:eastAsia="宋体" w:cs="宋体"/>
          <w:sz w:val="24"/>
          <w:szCs w:val="24"/>
          <w:lang w:val="en-US" w:eastAsia="zh-CN"/>
        </w:rPr>
        <w:t>,</w:t>
      </w:r>
      <w:r>
        <w:rPr>
          <w:rFonts w:hint="eastAsia" w:ascii="宋体" w:hAnsi="宋体" w:eastAsia="宋体" w:cs="宋体"/>
          <w:sz w:val="24"/>
          <w:szCs w:val="24"/>
        </w:rPr>
        <w:t>生长期追施腐熟有机肥或磷钾肥</w:t>
      </w:r>
      <w:r>
        <w:rPr>
          <w:rFonts w:hint="eastAsia" w:ascii="宋体" w:hAnsi="宋体" w:eastAsia="宋体" w:cs="宋体"/>
          <w:sz w:val="24"/>
          <w:szCs w:val="24"/>
          <w:lang w:val="en-US" w:eastAsia="zh-CN"/>
        </w:rPr>
        <w:t>,</w:t>
      </w:r>
      <w:r>
        <w:rPr>
          <w:rFonts w:hint="eastAsia" w:ascii="宋体" w:hAnsi="宋体" w:eastAsia="宋体" w:cs="宋体"/>
          <w:b w:val="0"/>
          <w:bCs/>
          <w:sz w:val="24"/>
          <w:szCs w:val="24"/>
        </w:rPr>
        <w:t>禁止施用未腐熟</w:t>
      </w:r>
      <w:r>
        <w:rPr>
          <w:rFonts w:hint="eastAsia" w:ascii="宋体" w:hAnsi="宋体" w:eastAsia="宋体" w:cs="宋体"/>
          <w:b w:val="0"/>
          <w:bCs/>
          <w:sz w:val="24"/>
          <w:szCs w:val="24"/>
          <w:lang w:eastAsia="zh-CN"/>
        </w:rPr>
        <w:t>农家</w:t>
      </w:r>
      <w:r>
        <w:rPr>
          <w:rFonts w:hint="eastAsia" w:ascii="宋体" w:hAnsi="宋体" w:eastAsia="宋体" w:cs="宋体"/>
          <w:b w:val="0"/>
          <w:bCs/>
          <w:sz w:val="24"/>
          <w:szCs w:val="24"/>
        </w:rPr>
        <w:t>肥、高氮化肥；雨季重点做好畦沟排涝，遇持续干旱适度补水，忌大水漫灌。</w:t>
      </w:r>
    </w:p>
    <w:p w14:paraId="67F19598">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7.4.3 割蔓：株高15cm</w:t>
      </w:r>
      <w:r>
        <w:rPr>
          <w:rFonts w:hint="eastAsia" w:ascii="宋体" w:hAnsi="宋体" w:eastAsia="宋体" w:cs="宋体"/>
          <w:sz w:val="24"/>
          <w:szCs w:val="24"/>
          <w:lang w:val="en-US" w:eastAsia="zh-CN"/>
        </w:rPr>
        <w:t>-</w:t>
      </w:r>
      <w:r>
        <w:rPr>
          <w:rFonts w:hint="eastAsia" w:ascii="宋体" w:hAnsi="宋体" w:eastAsia="宋体" w:cs="宋体"/>
          <w:sz w:val="24"/>
          <w:szCs w:val="24"/>
        </w:rPr>
        <w:t>30cm时割蔓，留茬高度3cm</w:t>
      </w:r>
      <w:r>
        <w:rPr>
          <w:rFonts w:hint="eastAsia" w:ascii="宋体" w:hAnsi="宋体" w:eastAsia="宋体" w:cs="宋体"/>
          <w:sz w:val="24"/>
          <w:szCs w:val="24"/>
          <w:lang w:val="en-US" w:eastAsia="zh-CN"/>
        </w:rPr>
        <w:t>-</w:t>
      </w:r>
      <w:r>
        <w:rPr>
          <w:rFonts w:hint="eastAsia" w:ascii="宋体" w:hAnsi="宋体" w:eastAsia="宋体" w:cs="宋体"/>
          <w:sz w:val="24"/>
          <w:szCs w:val="24"/>
        </w:rPr>
        <w:t>5cm</w:t>
      </w:r>
      <w:r>
        <w:rPr>
          <w:rFonts w:hint="eastAsia" w:ascii="宋体" w:hAnsi="宋体" w:eastAsia="宋体" w:cs="宋体"/>
          <w:sz w:val="24"/>
          <w:szCs w:val="24"/>
          <w:lang w:eastAsia="zh-CN"/>
        </w:rPr>
        <w:t>，</w:t>
      </w:r>
      <w:r>
        <w:rPr>
          <w:rFonts w:hint="eastAsia" w:ascii="宋体" w:hAnsi="宋体" w:eastAsia="宋体" w:cs="宋体"/>
          <w:sz w:val="24"/>
          <w:szCs w:val="24"/>
        </w:rPr>
        <w:t>抑制地上藤蔓徒长，促进地下根部膨大。</w:t>
      </w:r>
    </w:p>
    <w:p w14:paraId="0C6DB9AC">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7.4.4 残膜回收：种植周期结束后，将田间地膜全部回收。</w:t>
      </w:r>
    </w:p>
    <w:p w14:paraId="22C7BBFB">
      <w:pPr>
        <w:spacing w:before="300" w:after="120" w:line="288" w:lineRule="auto"/>
        <w:ind w:left="0"/>
        <w:jc w:val="left"/>
        <w:outlineLvl w:val="2"/>
        <w:rPr>
          <w:rFonts w:hint="eastAsia" w:ascii="宋体" w:hAnsi="宋体" w:eastAsia="宋体" w:cs="宋体"/>
          <w:sz w:val="24"/>
          <w:szCs w:val="24"/>
        </w:rPr>
      </w:pPr>
      <w:bookmarkStart w:id="28" w:name="heading_28"/>
      <w:r>
        <w:rPr>
          <w:rFonts w:hint="eastAsia" w:ascii="宋体" w:hAnsi="宋体" w:eastAsia="宋体" w:cs="宋体"/>
          <w:b/>
          <w:sz w:val="24"/>
          <w:szCs w:val="24"/>
        </w:rPr>
        <w:t>7.5 病、虫、鼠害综合防治</w:t>
      </w:r>
      <w:bookmarkEnd w:id="28"/>
    </w:p>
    <w:p w14:paraId="2FDC7CB7">
      <w:pPr>
        <w:keepNext w:val="0"/>
        <w:keepLines w:val="0"/>
        <w:pageBreakBefore w:val="0"/>
        <w:widowControl w:val="0"/>
        <w:kinsoku/>
        <w:wordWrap/>
        <w:overflowPunct/>
        <w:topLinePunct w:val="0"/>
        <w:autoSpaceDE/>
        <w:autoSpaceDN/>
        <w:bidi w:val="0"/>
        <w:adjustRightInd/>
        <w:snapToGrid/>
        <w:spacing w:before="120" w:after="120" w:line="288" w:lineRule="auto"/>
        <w:ind w:lef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rPr>
        <w:t>贯彻“预防为主，综合防治”原则</w:t>
      </w:r>
      <w:r>
        <w:rPr>
          <w:rFonts w:hint="eastAsia" w:ascii="宋体" w:hAnsi="宋体" w:eastAsia="宋体" w:cs="宋体"/>
          <w:sz w:val="24"/>
          <w:szCs w:val="24"/>
          <w:lang w:eastAsia="zh-CN"/>
        </w:rPr>
        <w:t>，</w:t>
      </w:r>
      <w:r>
        <w:rPr>
          <w:rFonts w:hint="eastAsia" w:ascii="宋体" w:hAnsi="宋体" w:eastAsia="宋体" w:cs="宋体"/>
          <w:sz w:val="24"/>
          <w:szCs w:val="24"/>
        </w:rPr>
        <w:t>优先采用农业、物理、生物防治</w:t>
      </w:r>
      <w:r>
        <w:rPr>
          <w:rFonts w:hint="eastAsia" w:ascii="宋体" w:hAnsi="宋体" w:eastAsia="宋体" w:cs="宋体"/>
          <w:sz w:val="24"/>
          <w:szCs w:val="24"/>
          <w:lang w:eastAsia="zh-CN"/>
        </w:rPr>
        <w:t>，</w:t>
      </w:r>
      <w:r>
        <w:rPr>
          <w:rFonts w:hint="eastAsia" w:ascii="宋体" w:hAnsi="宋体" w:eastAsia="宋体" w:cs="宋体"/>
          <w:sz w:val="24"/>
          <w:szCs w:val="24"/>
        </w:rPr>
        <w:t>农药使用执行</w:t>
      </w:r>
      <w:r>
        <w:rPr>
          <w:rFonts w:hint="eastAsia" w:ascii="宋体" w:hAnsi="宋体" w:eastAsia="宋体" w:cs="宋体"/>
          <w:sz w:val="24"/>
          <w:szCs w:val="24"/>
          <w:highlight w:val="none"/>
        </w:rPr>
        <w:t>NY/T 1276。</w:t>
      </w:r>
    </w:p>
    <w:p w14:paraId="26912FC3">
      <w:pPr>
        <w:spacing w:before="260" w:after="120" w:line="288" w:lineRule="auto"/>
        <w:ind w:left="0"/>
        <w:jc w:val="left"/>
        <w:outlineLvl w:val="3"/>
        <w:rPr>
          <w:rFonts w:hint="eastAsia" w:ascii="宋体" w:hAnsi="宋体" w:eastAsia="宋体" w:cs="宋体"/>
          <w:sz w:val="24"/>
          <w:szCs w:val="24"/>
        </w:rPr>
      </w:pPr>
      <w:bookmarkStart w:id="29" w:name="heading_29"/>
      <w:r>
        <w:rPr>
          <w:rFonts w:hint="eastAsia" w:ascii="宋体" w:hAnsi="宋体" w:eastAsia="宋体" w:cs="宋体"/>
          <w:b/>
          <w:sz w:val="24"/>
          <w:szCs w:val="24"/>
        </w:rPr>
        <w:t>7.5.1 病害</w:t>
      </w:r>
      <w:bookmarkEnd w:id="29"/>
    </w:p>
    <w:p w14:paraId="70F88B05">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根腐病：高畦排水，合理轮作；发病初期采用30%恶霉灵水剂600</w:t>
      </w:r>
      <w:r>
        <w:rPr>
          <w:rFonts w:hint="eastAsia" w:ascii="宋体" w:hAnsi="宋体" w:eastAsia="宋体" w:cs="宋体"/>
          <w:sz w:val="24"/>
          <w:szCs w:val="24"/>
          <w:lang w:val="en-US" w:eastAsia="zh-CN"/>
        </w:rPr>
        <w:t>-</w:t>
      </w:r>
      <w:r>
        <w:rPr>
          <w:rFonts w:hint="eastAsia" w:ascii="宋体" w:hAnsi="宋体" w:eastAsia="宋体" w:cs="宋体"/>
          <w:sz w:val="24"/>
          <w:szCs w:val="24"/>
        </w:rPr>
        <w:t>800倍液灌根。</w:t>
      </w:r>
    </w:p>
    <w:p w14:paraId="35C4109A">
      <w:pPr>
        <w:numPr>
          <w:ilvl w:val="0"/>
          <w:numId w:val="0"/>
        </w:numPr>
        <w:spacing w:before="120" w:after="120" w:line="288"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锈病、斑枯病：清洁田园，通风降湿；发病初期选用苯醚甲环唑、三唑酮等药剂轮换防治。</w:t>
      </w:r>
    </w:p>
    <w:p w14:paraId="3F3B460C">
      <w:pPr>
        <w:spacing w:before="260" w:after="120" w:line="288" w:lineRule="auto"/>
        <w:ind w:left="0"/>
        <w:jc w:val="left"/>
        <w:outlineLvl w:val="3"/>
        <w:rPr>
          <w:rFonts w:hint="eastAsia" w:ascii="宋体" w:hAnsi="宋体" w:eastAsia="宋体" w:cs="宋体"/>
          <w:sz w:val="24"/>
          <w:szCs w:val="24"/>
        </w:rPr>
      </w:pPr>
      <w:bookmarkStart w:id="30" w:name="heading_30"/>
      <w:r>
        <w:rPr>
          <w:rFonts w:hint="eastAsia" w:ascii="宋体" w:hAnsi="宋体" w:eastAsia="宋体" w:cs="宋体"/>
          <w:b/>
          <w:sz w:val="24"/>
          <w:szCs w:val="24"/>
        </w:rPr>
        <w:t>7.5.2 虫害</w:t>
      </w:r>
      <w:bookmarkEnd w:id="30"/>
    </w:p>
    <w:p w14:paraId="28AE9CAC">
      <w:pPr>
        <w:numPr>
          <w:ilvl w:val="0"/>
          <w:numId w:val="0"/>
        </w:numPr>
        <w:spacing w:before="120" w:after="120" w:line="288"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地下害虫（蛴螬、金针虫、地老虎）：深翻晒垡</w:t>
      </w:r>
      <w:r>
        <w:rPr>
          <w:rFonts w:hint="eastAsia" w:ascii="宋体" w:hAnsi="宋体" w:eastAsia="宋体" w:cs="宋体"/>
          <w:sz w:val="24"/>
          <w:szCs w:val="24"/>
          <w:lang w:eastAsia="zh-CN"/>
        </w:rPr>
        <w:t>，</w:t>
      </w:r>
      <w:r>
        <w:rPr>
          <w:rFonts w:hint="eastAsia" w:ascii="宋体" w:hAnsi="宋体" w:eastAsia="宋体" w:cs="宋体"/>
          <w:sz w:val="24"/>
          <w:szCs w:val="24"/>
        </w:rPr>
        <w:t>黑光灯诱杀成虫</w:t>
      </w:r>
      <w:r>
        <w:rPr>
          <w:rFonts w:hint="eastAsia" w:ascii="宋体" w:hAnsi="宋体" w:eastAsia="宋体" w:cs="宋体"/>
          <w:sz w:val="24"/>
          <w:szCs w:val="24"/>
          <w:lang w:eastAsia="zh-CN"/>
        </w:rPr>
        <w:t>，</w:t>
      </w:r>
      <w:r>
        <w:rPr>
          <w:rFonts w:hint="eastAsia" w:ascii="宋体" w:hAnsi="宋体" w:eastAsia="宋体" w:cs="宋体"/>
          <w:sz w:val="24"/>
          <w:szCs w:val="24"/>
        </w:rPr>
        <w:t>定植前可施用辛硫磷颗粒剂土壤处理。</w:t>
      </w:r>
    </w:p>
    <w:p w14:paraId="1232B312">
      <w:pPr>
        <w:numPr>
          <w:ilvl w:val="0"/>
          <w:numId w:val="0"/>
        </w:numPr>
        <w:spacing w:before="120" w:after="120" w:line="288"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蚜虫：选用吡虫啉、抗蚜威等低毒药剂防治。</w:t>
      </w:r>
    </w:p>
    <w:p w14:paraId="61B49AF6">
      <w:pPr>
        <w:spacing w:before="260" w:after="120" w:line="288" w:lineRule="auto"/>
        <w:ind w:left="0"/>
        <w:jc w:val="left"/>
        <w:outlineLvl w:val="3"/>
        <w:rPr>
          <w:rFonts w:hint="eastAsia" w:ascii="宋体" w:hAnsi="宋体" w:eastAsia="宋体" w:cs="宋体"/>
          <w:sz w:val="24"/>
          <w:szCs w:val="24"/>
        </w:rPr>
      </w:pPr>
      <w:bookmarkStart w:id="31" w:name="heading_31"/>
      <w:r>
        <w:rPr>
          <w:rFonts w:hint="eastAsia" w:ascii="宋体" w:hAnsi="宋体" w:eastAsia="宋体" w:cs="宋体"/>
          <w:b/>
          <w:sz w:val="24"/>
          <w:szCs w:val="24"/>
        </w:rPr>
        <w:t>7.5.3 中华鼢鼠（鼢鼠）</w:t>
      </w:r>
      <w:bookmarkEnd w:id="31"/>
    </w:p>
    <w:p w14:paraId="25EC5438">
      <w:pPr>
        <w:spacing w:before="120" w:after="120" w:line="288" w:lineRule="auto"/>
        <w:ind w:left="0" w:firstLine="480" w:firstLineChars="200"/>
        <w:jc w:val="left"/>
        <w:rPr>
          <w:rFonts w:hint="eastAsia" w:ascii="宋体" w:hAnsi="宋体" w:eastAsia="宋体" w:cs="宋体"/>
          <w:b w:val="0"/>
          <w:bCs w:val="0"/>
          <w:sz w:val="24"/>
          <w:szCs w:val="24"/>
        </w:rPr>
      </w:pPr>
      <w:r>
        <w:rPr>
          <w:rFonts w:hint="eastAsia" w:ascii="宋体" w:hAnsi="宋体" w:eastAsia="宋体" w:cs="宋体"/>
          <w:sz w:val="24"/>
          <w:szCs w:val="24"/>
          <w:lang w:eastAsia="zh-CN"/>
        </w:rPr>
        <w:t>采用</w:t>
      </w:r>
      <w:r>
        <w:rPr>
          <w:rFonts w:hint="eastAsia" w:ascii="宋体" w:hAnsi="宋体" w:eastAsia="宋体" w:cs="宋体"/>
          <w:sz w:val="24"/>
          <w:szCs w:val="24"/>
        </w:rPr>
        <w:t>鼠道布设T型钢丝夹、弓形弹簧夹</w:t>
      </w:r>
      <w:r>
        <w:rPr>
          <w:rFonts w:hint="eastAsia" w:ascii="宋体" w:hAnsi="宋体" w:eastAsia="宋体" w:cs="宋体"/>
          <w:sz w:val="24"/>
          <w:szCs w:val="24"/>
          <w:lang w:eastAsia="zh-CN"/>
        </w:rPr>
        <w:t>进行</w:t>
      </w:r>
      <w:r>
        <w:rPr>
          <w:rFonts w:hint="eastAsia" w:ascii="宋体" w:hAnsi="宋体" w:eastAsia="宋体" w:cs="宋体"/>
          <w:sz w:val="24"/>
          <w:szCs w:val="24"/>
        </w:rPr>
        <w:t>物理捕鼠，避开种苗根系</w:t>
      </w:r>
      <w:r>
        <w:rPr>
          <w:rFonts w:hint="eastAsia" w:ascii="宋体" w:hAnsi="宋体" w:eastAsia="宋体" w:cs="宋体"/>
          <w:sz w:val="24"/>
          <w:szCs w:val="24"/>
          <w:lang w:eastAsia="zh-CN"/>
        </w:rPr>
        <w:t>；</w:t>
      </w:r>
      <w:r>
        <w:rPr>
          <w:rFonts w:hint="eastAsia" w:ascii="宋体" w:hAnsi="宋体" w:eastAsia="宋体" w:cs="宋体"/>
          <w:sz w:val="24"/>
          <w:szCs w:val="24"/>
        </w:rPr>
        <w:t>结合翻耕灭洞、灌水驱鼠，定期巡查维护</w:t>
      </w:r>
      <w:r>
        <w:rPr>
          <w:rFonts w:hint="eastAsia" w:ascii="宋体" w:hAnsi="宋体" w:eastAsia="宋体" w:cs="宋体"/>
          <w:b w:val="0"/>
          <w:bCs w:val="0"/>
          <w:sz w:val="24"/>
          <w:szCs w:val="24"/>
        </w:rPr>
        <w:t>；严禁使用剧毒鼠药。</w:t>
      </w:r>
    </w:p>
    <w:p w14:paraId="63BA03FE">
      <w:pPr>
        <w:spacing w:before="320" w:after="120" w:line="288" w:lineRule="auto"/>
        <w:ind w:left="0"/>
        <w:jc w:val="left"/>
        <w:outlineLvl w:val="1"/>
        <w:rPr>
          <w:rFonts w:hint="eastAsia" w:ascii="宋体" w:hAnsi="宋体" w:eastAsia="宋体" w:cs="宋体"/>
          <w:sz w:val="24"/>
          <w:szCs w:val="24"/>
        </w:rPr>
      </w:pPr>
      <w:bookmarkStart w:id="32" w:name="heading_32"/>
      <w:r>
        <w:rPr>
          <w:rFonts w:hint="eastAsia" w:ascii="宋体" w:hAnsi="宋体" w:eastAsia="宋体" w:cs="宋体"/>
          <w:b/>
          <w:sz w:val="24"/>
          <w:szCs w:val="24"/>
        </w:rPr>
        <w:t>8 采收与产地初加工</w:t>
      </w:r>
      <w:bookmarkEnd w:id="32"/>
    </w:p>
    <w:p w14:paraId="58E0C949">
      <w:pPr>
        <w:spacing w:before="300" w:after="120" w:line="288" w:lineRule="auto"/>
        <w:ind w:left="0"/>
        <w:jc w:val="left"/>
        <w:outlineLvl w:val="2"/>
        <w:rPr>
          <w:rFonts w:hint="eastAsia" w:ascii="宋体" w:hAnsi="宋体" w:eastAsia="宋体" w:cs="宋体"/>
          <w:sz w:val="24"/>
          <w:szCs w:val="24"/>
        </w:rPr>
      </w:pPr>
      <w:bookmarkStart w:id="33" w:name="heading_33"/>
      <w:r>
        <w:rPr>
          <w:rFonts w:hint="eastAsia" w:ascii="宋体" w:hAnsi="宋体" w:eastAsia="宋体" w:cs="宋体"/>
          <w:b/>
          <w:sz w:val="24"/>
          <w:szCs w:val="24"/>
        </w:rPr>
        <w:t>8.1 采收</w:t>
      </w:r>
      <w:bookmarkEnd w:id="33"/>
    </w:p>
    <w:p w14:paraId="6C7A3EF3">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移栽生长满2</w:t>
      </w:r>
      <w:r>
        <w:rPr>
          <w:rFonts w:hint="eastAsia" w:ascii="宋体" w:hAnsi="宋体" w:eastAsia="宋体" w:cs="宋体"/>
          <w:sz w:val="24"/>
          <w:szCs w:val="24"/>
          <w:lang w:val="en-US" w:eastAsia="zh-CN"/>
        </w:rPr>
        <w:t>-</w:t>
      </w:r>
      <w:r>
        <w:rPr>
          <w:rFonts w:hint="eastAsia" w:ascii="宋体" w:hAnsi="宋体" w:eastAsia="宋体" w:cs="宋体"/>
          <w:sz w:val="24"/>
          <w:szCs w:val="24"/>
        </w:rPr>
        <w:t>3年，10月中下旬地上茎叶枯萎后采挖；人工采挖，避免刨伤、折断参根，保持根条完整。</w:t>
      </w:r>
    </w:p>
    <w:p w14:paraId="4400A8F2">
      <w:pPr>
        <w:spacing w:before="300" w:after="120" w:line="288" w:lineRule="auto"/>
        <w:ind w:left="0"/>
        <w:jc w:val="left"/>
        <w:outlineLvl w:val="2"/>
        <w:rPr>
          <w:rFonts w:hint="eastAsia" w:ascii="宋体" w:hAnsi="宋体" w:eastAsia="宋体" w:cs="宋体"/>
          <w:sz w:val="24"/>
          <w:szCs w:val="24"/>
        </w:rPr>
      </w:pPr>
      <w:bookmarkStart w:id="34" w:name="heading_34"/>
      <w:r>
        <w:rPr>
          <w:rFonts w:hint="eastAsia" w:ascii="宋体" w:hAnsi="宋体" w:eastAsia="宋体" w:cs="宋体"/>
          <w:b/>
          <w:sz w:val="24"/>
          <w:szCs w:val="24"/>
        </w:rPr>
        <w:t>8.2 产地初加工</w:t>
      </w:r>
      <w:bookmarkEnd w:id="34"/>
    </w:p>
    <w:p w14:paraId="03B2B92F">
      <w:pPr>
        <w:spacing w:before="120" w:after="120" w:line="288"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 xml:space="preserve">8.2.1  </w:t>
      </w:r>
      <w:r>
        <w:rPr>
          <w:rFonts w:hint="eastAsia" w:ascii="宋体" w:hAnsi="宋体" w:eastAsia="宋体" w:cs="宋体"/>
          <w:sz w:val="24"/>
          <w:szCs w:val="24"/>
        </w:rPr>
        <w:t>去净泥土，剪去须根，按大小粗细分级。</w:t>
      </w:r>
    </w:p>
    <w:p w14:paraId="720866E9">
      <w:pPr>
        <w:spacing w:before="120" w:after="120" w:line="288"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 xml:space="preserve">8.2.2  </w:t>
      </w:r>
      <w:r>
        <w:rPr>
          <w:rFonts w:hint="eastAsia" w:ascii="宋体" w:hAnsi="宋体" w:eastAsia="宋体" w:cs="宋体"/>
          <w:sz w:val="24"/>
          <w:szCs w:val="24"/>
        </w:rPr>
        <w:t>晾晒至药材质地柔韧、弯曲不易折断</w:t>
      </w:r>
      <w:r>
        <w:rPr>
          <w:rFonts w:hint="eastAsia" w:ascii="宋体" w:hAnsi="宋体" w:eastAsia="宋体" w:cs="宋体"/>
          <w:sz w:val="24"/>
          <w:szCs w:val="24"/>
          <w:lang w:eastAsia="zh-CN"/>
        </w:rPr>
        <w:t>，</w:t>
      </w:r>
      <w:r>
        <w:rPr>
          <w:rFonts w:hint="eastAsia" w:ascii="宋体" w:hAnsi="宋体" w:eastAsia="宋体" w:cs="宋体"/>
          <w:sz w:val="24"/>
          <w:szCs w:val="24"/>
        </w:rPr>
        <w:t>进行揉搓</w:t>
      </w:r>
      <w:r>
        <w:rPr>
          <w:rFonts w:hint="eastAsia" w:ascii="宋体" w:hAnsi="宋体" w:eastAsia="宋体" w:cs="宋体"/>
          <w:sz w:val="24"/>
          <w:szCs w:val="24"/>
          <w:lang w:eastAsia="zh-CN"/>
        </w:rPr>
        <w:t>。</w:t>
      </w:r>
      <w:r>
        <w:rPr>
          <w:rFonts w:hint="eastAsia" w:ascii="宋体" w:hAnsi="宋体" w:eastAsia="宋体" w:cs="宋体"/>
          <w:sz w:val="24"/>
          <w:szCs w:val="24"/>
        </w:rPr>
        <w:t>整个干燥过程揉搓3</w:t>
      </w:r>
      <w:r>
        <w:rPr>
          <w:rFonts w:hint="eastAsia" w:ascii="宋体" w:hAnsi="宋体" w:eastAsia="宋体" w:cs="宋体"/>
          <w:sz w:val="24"/>
          <w:szCs w:val="24"/>
          <w:lang w:val="en-US" w:eastAsia="zh-CN"/>
        </w:rPr>
        <w:t>-</w:t>
      </w:r>
      <w:r>
        <w:rPr>
          <w:rFonts w:hint="eastAsia" w:ascii="宋体" w:hAnsi="宋体" w:eastAsia="宋体" w:cs="宋体"/>
          <w:sz w:val="24"/>
          <w:szCs w:val="24"/>
        </w:rPr>
        <w:t>5次，促使皮肉紧密贴合，糖</w:t>
      </w:r>
      <w:r>
        <w:rPr>
          <w:rFonts w:hint="eastAsia" w:ascii="宋体" w:hAnsi="宋体" w:eastAsia="宋体" w:cs="宋体"/>
          <w:sz w:val="24"/>
          <w:szCs w:val="24"/>
          <w:lang w:eastAsia="zh-CN"/>
        </w:rPr>
        <w:t>分</w:t>
      </w:r>
      <w:r>
        <w:rPr>
          <w:rFonts w:hint="eastAsia" w:ascii="宋体" w:hAnsi="宋体" w:eastAsia="宋体" w:cs="宋体"/>
          <w:sz w:val="24"/>
          <w:szCs w:val="24"/>
        </w:rPr>
        <w:t>析出。</w:t>
      </w:r>
    </w:p>
    <w:p w14:paraId="2038F566">
      <w:pPr>
        <w:spacing w:before="120" w:after="120" w:line="288"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 xml:space="preserve">8.2.3  </w:t>
      </w:r>
      <w:r>
        <w:rPr>
          <w:rFonts w:hint="eastAsia" w:ascii="宋体" w:hAnsi="宋体" w:eastAsia="宋体" w:cs="宋体"/>
          <w:sz w:val="24"/>
          <w:szCs w:val="24"/>
        </w:rPr>
        <w:t>晒干或者低温烘干；控制成品水分≤16.0%；成品菊花心明显，质地柔韧。加工环节禁止硫磺熏蒸。</w:t>
      </w:r>
    </w:p>
    <w:p w14:paraId="0CB6F549">
      <w:pPr>
        <w:spacing w:before="320" w:after="120" w:line="288" w:lineRule="auto"/>
        <w:ind w:left="0"/>
        <w:jc w:val="left"/>
        <w:outlineLvl w:val="1"/>
        <w:rPr>
          <w:rFonts w:hint="eastAsia" w:ascii="宋体" w:hAnsi="宋体" w:eastAsia="宋体" w:cs="宋体"/>
          <w:sz w:val="24"/>
          <w:szCs w:val="24"/>
        </w:rPr>
      </w:pPr>
      <w:bookmarkStart w:id="35" w:name="heading_35"/>
      <w:r>
        <w:rPr>
          <w:rFonts w:hint="eastAsia" w:ascii="宋体" w:hAnsi="宋体" w:eastAsia="宋体" w:cs="宋体"/>
          <w:b/>
          <w:sz w:val="24"/>
          <w:szCs w:val="24"/>
        </w:rPr>
        <w:t>9 质量要求</w:t>
      </w:r>
      <w:bookmarkEnd w:id="35"/>
    </w:p>
    <w:p w14:paraId="73F0F936">
      <w:pPr>
        <w:spacing w:before="300" w:after="120" w:line="288" w:lineRule="auto"/>
        <w:ind w:left="0"/>
        <w:jc w:val="left"/>
        <w:outlineLvl w:val="2"/>
        <w:rPr>
          <w:rFonts w:hint="eastAsia" w:ascii="宋体" w:hAnsi="宋体" w:eastAsia="宋体" w:cs="宋体"/>
          <w:sz w:val="24"/>
          <w:szCs w:val="24"/>
        </w:rPr>
      </w:pPr>
      <w:bookmarkStart w:id="36" w:name="heading_36"/>
      <w:r>
        <w:rPr>
          <w:rFonts w:hint="eastAsia" w:ascii="宋体" w:hAnsi="宋体" w:eastAsia="宋体" w:cs="宋体"/>
          <w:b/>
          <w:sz w:val="24"/>
          <w:szCs w:val="24"/>
        </w:rPr>
        <w:t>9.1 感官特性</w:t>
      </w:r>
      <w:bookmarkEnd w:id="36"/>
    </w:p>
    <w:p w14:paraId="186C74EB">
      <w:pPr>
        <w:spacing w:before="120" w:after="120" w:line="288" w:lineRule="auto"/>
        <w:ind w:left="0"/>
        <w:jc w:val="both"/>
        <w:rPr>
          <w:rFonts w:hint="eastAsia" w:ascii="宋体" w:hAnsi="宋体" w:eastAsia="宋体" w:cs="宋体"/>
          <w:sz w:val="24"/>
          <w:szCs w:val="24"/>
        </w:rPr>
      </w:pPr>
      <w:r>
        <w:rPr>
          <w:rFonts w:hint="eastAsia" w:ascii="宋体" w:hAnsi="宋体" w:eastAsia="宋体" w:cs="宋体"/>
          <w:sz w:val="24"/>
          <w:szCs w:val="24"/>
        </w:rPr>
        <w:t>表1 感官特性</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859"/>
        <w:gridCol w:w="6960"/>
      </w:tblGrid>
      <w:tr w14:paraId="779F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2" w:hRule="atLeast"/>
        </w:trPr>
        <w:tc>
          <w:tcPr>
            <w:tcW w:w="1859" w:type="dxa"/>
            <w:tcMar>
              <w:top w:w="60" w:type="dxa"/>
              <w:left w:w="120" w:type="dxa"/>
              <w:bottom w:w="30" w:type="dxa"/>
              <w:right w:w="120" w:type="dxa"/>
            </w:tcMar>
          </w:tcPr>
          <w:p w14:paraId="5DA5998E">
            <w:pPr>
              <w:spacing w:before="120" w:after="120" w:line="288" w:lineRule="auto"/>
              <w:ind w:left="0"/>
              <w:jc w:val="center"/>
              <w:rPr>
                <w:rFonts w:hint="eastAsia" w:ascii="宋体" w:hAnsi="宋体" w:eastAsia="宋体" w:cs="宋体"/>
                <w:sz w:val="21"/>
                <w:szCs w:val="21"/>
              </w:rPr>
            </w:pPr>
            <w:r>
              <w:rPr>
                <w:rFonts w:hint="eastAsia" w:ascii="宋体" w:hAnsi="宋体" w:eastAsia="宋体" w:cs="宋体"/>
                <w:sz w:val="21"/>
                <w:szCs w:val="21"/>
              </w:rPr>
              <w:t>项目</w:t>
            </w:r>
          </w:p>
        </w:tc>
        <w:tc>
          <w:tcPr>
            <w:tcW w:w="6960" w:type="dxa"/>
            <w:tcMar>
              <w:top w:w="60" w:type="dxa"/>
              <w:left w:w="120" w:type="dxa"/>
              <w:bottom w:w="30" w:type="dxa"/>
              <w:right w:w="120" w:type="dxa"/>
            </w:tcMar>
          </w:tcPr>
          <w:p w14:paraId="7A21F6A9">
            <w:pPr>
              <w:spacing w:before="120" w:after="120" w:line="288" w:lineRule="auto"/>
              <w:ind w:left="0"/>
              <w:jc w:val="center"/>
              <w:rPr>
                <w:rFonts w:hint="eastAsia" w:ascii="宋体" w:hAnsi="宋体" w:eastAsia="宋体" w:cs="宋体"/>
                <w:sz w:val="21"/>
                <w:szCs w:val="21"/>
              </w:rPr>
            </w:pPr>
            <w:r>
              <w:rPr>
                <w:rFonts w:hint="eastAsia" w:ascii="宋体" w:hAnsi="宋体" w:eastAsia="宋体" w:cs="宋体"/>
                <w:sz w:val="21"/>
                <w:szCs w:val="21"/>
              </w:rPr>
              <w:t>要求</w:t>
            </w:r>
          </w:p>
        </w:tc>
      </w:tr>
      <w:tr w14:paraId="3750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27" w:hRule="atLeast"/>
        </w:trPr>
        <w:tc>
          <w:tcPr>
            <w:tcW w:w="1859" w:type="dxa"/>
            <w:tcMar>
              <w:top w:w="60" w:type="dxa"/>
              <w:left w:w="120" w:type="dxa"/>
              <w:bottom w:w="30" w:type="dxa"/>
              <w:right w:w="120" w:type="dxa"/>
            </w:tcMar>
          </w:tcPr>
          <w:p w14:paraId="5B763F1F">
            <w:pPr>
              <w:spacing w:before="120" w:after="120" w:line="288" w:lineRule="auto"/>
              <w:ind w:left="0"/>
              <w:jc w:val="center"/>
              <w:rPr>
                <w:rFonts w:hint="eastAsia" w:ascii="宋体" w:hAnsi="宋体" w:eastAsia="宋体" w:cs="宋体"/>
                <w:sz w:val="21"/>
                <w:szCs w:val="21"/>
              </w:rPr>
            </w:pPr>
          </w:p>
          <w:p w14:paraId="117B2CAB">
            <w:pPr>
              <w:spacing w:before="120" w:after="120" w:line="288" w:lineRule="auto"/>
              <w:ind w:left="0" w:firstLine="420" w:firstLineChars="200"/>
              <w:jc w:val="both"/>
              <w:rPr>
                <w:rFonts w:hint="eastAsia" w:ascii="宋体" w:hAnsi="宋体" w:eastAsia="宋体" w:cs="宋体"/>
                <w:sz w:val="21"/>
                <w:szCs w:val="21"/>
              </w:rPr>
            </w:pPr>
            <w:r>
              <w:rPr>
                <w:rFonts w:hint="eastAsia" w:ascii="宋体" w:hAnsi="宋体" w:eastAsia="宋体" w:cs="宋体"/>
                <w:sz w:val="21"/>
                <w:szCs w:val="21"/>
              </w:rPr>
              <w:t>外观形态</w:t>
            </w:r>
          </w:p>
        </w:tc>
        <w:tc>
          <w:tcPr>
            <w:tcW w:w="6960" w:type="dxa"/>
            <w:tcMar>
              <w:top w:w="60" w:type="dxa"/>
              <w:left w:w="120" w:type="dxa"/>
              <w:bottom w:w="30" w:type="dxa"/>
              <w:right w:w="120" w:type="dxa"/>
            </w:tcMar>
          </w:tcPr>
          <w:p w14:paraId="0CD14118">
            <w:pPr>
              <w:spacing w:before="120" w:after="120" w:line="288" w:lineRule="auto"/>
              <w:ind w:left="0"/>
              <w:jc w:val="left"/>
              <w:rPr>
                <w:rFonts w:hint="eastAsia" w:ascii="宋体" w:hAnsi="宋体" w:eastAsia="宋体" w:cs="宋体"/>
                <w:sz w:val="21"/>
                <w:szCs w:val="21"/>
                <w:lang w:val="en-US" w:eastAsia="zh-CN"/>
              </w:rPr>
            </w:pPr>
            <w:r>
              <w:rPr>
                <w:rFonts w:hint="eastAsia" w:ascii="宋体" w:hAnsi="宋体" w:eastAsia="宋体" w:cs="宋体"/>
                <w:sz w:val="21"/>
                <w:szCs w:val="21"/>
              </w:rPr>
              <w:t>长条圆锥形，条大粗壮，长15cm</w:t>
            </w:r>
            <w:r>
              <w:rPr>
                <w:rFonts w:hint="eastAsia" w:ascii="宋体" w:hAnsi="宋体" w:eastAsia="宋体" w:cs="宋体"/>
                <w:sz w:val="21"/>
                <w:szCs w:val="21"/>
                <w:lang w:val="en-US" w:eastAsia="zh-CN"/>
              </w:rPr>
              <w:t>-</w:t>
            </w:r>
            <w:r>
              <w:rPr>
                <w:rFonts w:hint="eastAsia" w:ascii="宋体" w:hAnsi="宋体" w:eastAsia="宋体" w:cs="宋体"/>
                <w:sz w:val="21"/>
                <w:szCs w:val="21"/>
              </w:rPr>
              <w:t>45cm，直径0.8cm</w:t>
            </w:r>
            <w:r>
              <w:rPr>
                <w:rFonts w:hint="eastAsia" w:ascii="宋体" w:hAnsi="宋体" w:eastAsia="宋体" w:cs="宋体"/>
                <w:sz w:val="21"/>
                <w:szCs w:val="21"/>
                <w:lang w:val="en-US" w:eastAsia="zh-CN"/>
              </w:rPr>
              <w:t>-</w:t>
            </w:r>
            <w:r>
              <w:rPr>
                <w:rFonts w:hint="eastAsia" w:ascii="宋体" w:hAnsi="宋体" w:eastAsia="宋体" w:cs="宋体"/>
                <w:sz w:val="21"/>
                <w:szCs w:val="21"/>
              </w:rPr>
              <w:t>5.0cm；外表米黄色，皮肉紧实，横纹密集、纵纹粗深；根头狮子盘头发达；断面皮部厚，色白，裂隙多，菊花心明显</w:t>
            </w:r>
            <w:r>
              <w:rPr>
                <w:rFonts w:hint="eastAsia" w:ascii="宋体" w:hAnsi="宋体" w:eastAsia="宋体" w:cs="宋体"/>
                <w:sz w:val="21"/>
                <w:szCs w:val="21"/>
                <w:lang w:eastAsia="zh-CN"/>
              </w:rPr>
              <w:t>。</w:t>
            </w:r>
          </w:p>
        </w:tc>
      </w:tr>
      <w:tr w14:paraId="26D6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59" w:type="dxa"/>
            <w:tcMar>
              <w:top w:w="60" w:type="dxa"/>
              <w:left w:w="120" w:type="dxa"/>
              <w:bottom w:w="30" w:type="dxa"/>
              <w:right w:w="120" w:type="dxa"/>
            </w:tcMar>
          </w:tcPr>
          <w:p w14:paraId="79980546">
            <w:pPr>
              <w:spacing w:before="120" w:after="120" w:line="288" w:lineRule="auto"/>
              <w:ind w:left="0"/>
              <w:jc w:val="center"/>
              <w:rPr>
                <w:rFonts w:hint="eastAsia" w:ascii="宋体" w:hAnsi="宋体" w:eastAsia="宋体" w:cs="宋体"/>
                <w:sz w:val="21"/>
                <w:szCs w:val="21"/>
              </w:rPr>
            </w:pPr>
            <w:r>
              <w:rPr>
                <w:rFonts w:hint="eastAsia" w:ascii="宋体" w:hAnsi="宋体" w:eastAsia="宋体" w:cs="宋体"/>
                <w:sz w:val="21"/>
                <w:szCs w:val="21"/>
              </w:rPr>
              <w:t>质地</w:t>
            </w:r>
          </w:p>
        </w:tc>
        <w:tc>
          <w:tcPr>
            <w:tcW w:w="6960" w:type="dxa"/>
            <w:tcMar>
              <w:top w:w="60" w:type="dxa"/>
              <w:left w:w="120" w:type="dxa"/>
              <w:bottom w:w="30" w:type="dxa"/>
              <w:right w:w="120" w:type="dxa"/>
            </w:tcMar>
          </w:tcPr>
          <w:p w14:paraId="0274D6CE">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柔润，有韧性，不易折断</w:t>
            </w:r>
          </w:p>
        </w:tc>
      </w:tr>
      <w:tr w14:paraId="01D1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92" w:hRule="atLeast"/>
        </w:trPr>
        <w:tc>
          <w:tcPr>
            <w:tcW w:w="1859" w:type="dxa"/>
            <w:tcMar>
              <w:top w:w="60" w:type="dxa"/>
              <w:left w:w="120" w:type="dxa"/>
              <w:bottom w:w="30" w:type="dxa"/>
              <w:right w:w="120" w:type="dxa"/>
            </w:tcMar>
          </w:tcPr>
          <w:p w14:paraId="7ADC6C13">
            <w:pPr>
              <w:spacing w:before="120" w:after="120" w:line="288" w:lineRule="auto"/>
              <w:ind w:left="0"/>
              <w:jc w:val="center"/>
              <w:rPr>
                <w:rFonts w:hint="eastAsia" w:ascii="宋体" w:hAnsi="宋体" w:eastAsia="宋体" w:cs="宋体"/>
                <w:sz w:val="21"/>
                <w:szCs w:val="21"/>
              </w:rPr>
            </w:pPr>
            <w:r>
              <w:rPr>
                <w:rFonts w:hint="eastAsia" w:ascii="宋体" w:hAnsi="宋体" w:eastAsia="宋体" w:cs="宋体"/>
                <w:sz w:val="21"/>
                <w:szCs w:val="21"/>
              </w:rPr>
              <w:t>气味</w:t>
            </w:r>
          </w:p>
        </w:tc>
        <w:tc>
          <w:tcPr>
            <w:tcW w:w="6960" w:type="dxa"/>
            <w:tcMar>
              <w:top w:w="60" w:type="dxa"/>
              <w:left w:w="120" w:type="dxa"/>
              <w:bottom w:w="30" w:type="dxa"/>
              <w:right w:w="120" w:type="dxa"/>
            </w:tcMar>
          </w:tcPr>
          <w:p w14:paraId="460C6CF2">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香气浓烈（羊奶香），优于普通川党参</w:t>
            </w:r>
          </w:p>
        </w:tc>
      </w:tr>
      <w:tr w14:paraId="0498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59" w:type="dxa"/>
            <w:tcMar>
              <w:top w:w="60" w:type="dxa"/>
              <w:left w:w="120" w:type="dxa"/>
              <w:bottom w:w="30" w:type="dxa"/>
              <w:right w:w="120" w:type="dxa"/>
            </w:tcMar>
          </w:tcPr>
          <w:p w14:paraId="389CAC1D">
            <w:pPr>
              <w:spacing w:before="120" w:after="120" w:line="288" w:lineRule="auto"/>
              <w:ind w:left="0"/>
              <w:jc w:val="center"/>
              <w:rPr>
                <w:rFonts w:hint="eastAsia" w:ascii="宋体" w:hAnsi="宋体" w:eastAsia="宋体" w:cs="宋体"/>
                <w:sz w:val="21"/>
                <w:szCs w:val="21"/>
              </w:rPr>
            </w:pPr>
            <w:r>
              <w:rPr>
                <w:rFonts w:hint="eastAsia" w:ascii="宋体" w:hAnsi="宋体" w:eastAsia="宋体" w:cs="宋体"/>
                <w:sz w:val="21"/>
                <w:szCs w:val="21"/>
              </w:rPr>
              <w:t>口感</w:t>
            </w:r>
          </w:p>
        </w:tc>
        <w:tc>
          <w:tcPr>
            <w:tcW w:w="6960" w:type="dxa"/>
            <w:tcMar>
              <w:top w:w="60" w:type="dxa"/>
              <w:left w:w="120" w:type="dxa"/>
              <w:bottom w:w="30" w:type="dxa"/>
              <w:right w:w="120" w:type="dxa"/>
            </w:tcMar>
          </w:tcPr>
          <w:p w14:paraId="0B48E767">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味甘甜，久嚼无渣，糖性足、黏液丰富</w:t>
            </w:r>
          </w:p>
        </w:tc>
      </w:tr>
    </w:tbl>
    <w:p w14:paraId="180CBA0D">
      <w:pPr>
        <w:spacing w:before="300" w:after="120" w:line="288" w:lineRule="auto"/>
        <w:ind w:left="0"/>
        <w:jc w:val="left"/>
        <w:outlineLvl w:val="2"/>
        <w:rPr>
          <w:rFonts w:hint="eastAsia" w:ascii="宋体" w:hAnsi="宋体" w:eastAsia="宋体" w:cs="宋体"/>
          <w:sz w:val="24"/>
          <w:szCs w:val="24"/>
        </w:rPr>
      </w:pPr>
      <w:bookmarkStart w:id="37" w:name="heading_37"/>
      <w:r>
        <w:rPr>
          <w:rFonts w:hint="eastAsia" w:ascii="宋体" w:hAnsi="宋体" w:eastAsia="宋体" w:cs="宋体"/>
          <w:b/>
          <w:sz w:val="24"/>
          <w:szCs w:val="24"/>
        </w:rPr>
        <w:t>9.2 理化指标</w:t>
      </w:r>
      <w:bookmarkEnd w:id="37"/>
    </w:p>
    <w:p w14:paraId="320E241B">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表2 理化指标</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279"/>
        <w:gridCol w:w="6380"/>
      </w:tblGrid>
      <w:tr w14:paraId="4E63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2279" w:type="dxa"/>
            <w:tcMar>
              <w:top w:w="60" w:type="dxa"/>
              <w:left w:w="120" w:type="dxa"/>
              <w:bottom w:w="30" w:type="dxa"/>
              <w:right w:w="120" w:type="dxa"/>
            </w:tcMar>
          </w:tcPr>
          <w:p w14:paraId="122A0397">
            <w:pPr>
              <w:spacing w:before="120" w:after="120" w:line="288" w:lineRule="auto"/>
              <w:ind w:left="0"/>
              <w:jc w:val="center"/>
              <w:rPr>
                <w:rFonts w:hint="eastAsia" w:ascii="宋体" w:hAnsi="宋体" w:eastAsia="宋体" w:cs="宋体"/>
                <w:sz w:val="21"/>
                <w:szCs w:val="21"/>
              </w:rPr>
            </w:pPr>
            <w:r>
              <w:rPr>
                <w:rFonts w:hint="eastAsia" w:ascii="宋体" w:hAnsi="宋体" w:eastAsia="宋体" w:cs="宋体"/>
                <w:sz w:val="21"/>
                <w:szCs w:val="21"/>
              </w:rPr>
              <w:t>项目</w:t>
            </w:r>
          </w:p>
        </w:tc>
        <w:tc>
          <w:tcPr>
            <w:tcW w:w="6380" w:type="dxa"/>
            <w:tcMar>
              <w:top w:w="60" w:type="dxa"/>
              <w:left w:w="120" w:type="dxa"/>
              <w:bottom w:w="30" w:type="dxa"/>
              <w:right w:w="120" w:type="dxa"/>
            </w:tcMar>
          </w:tcPr>
          <w:p w14:paraId="78F21877">
            <w:pPr>
              <w:spacing w:before="120" w:after="120" w:line="288" w:lineRule="auto"/>
              <w:ind w:left="0"/>
              <w:jc w:val="center"/>
              <w:rPr>
                <w:rFonts w:hint="eastAsia" w:ascii="宋体" w:hAnsi="宋体" w:eastAsia="宋体" w:cs="宋体"/>
                <w:sz w:val="21"/>
                <w:szCs w:val="21"/>
              </w:rPr>
            </w:pPr>
            <w:r>
              <w:rPr>
                <w:rFonts w:hint="eastAsia" w:ascii="宋体" w:hAnsi="宋体" w:eastAsia="宋体" w:cs="宋体"/>
                <w:sz w:val="21"/>
                <w:szCs w:val="21"/>
              </w:rPr>
              <w:t>指标</w:t>
            </w:r>
          </w:p>
        </w:tc>
      </w:tr>
      <w:tr w14:paraId="3743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2279" w:type="dxa"/>
            <w:tcMar>
              <w:top w:w="60" w:type="dxa"/>
              <w:left w:w="120" w:type="dxa"/>
              <w:bottom w:w="30" w:type="dxa"/>
              <w:right w:w="120" w:type="dxa"/>
            </w:tcMar>
          </w:tcPr>
          <w:p w14:paraId="2F61E8A2">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水分%</w:t>
            </w:r>
          </w:p>
        </w:tc>
        <w:tc>
          <w:tcPr>
            <w:tcW w:w="6380" w:type="dxa"/>
            <w:tcMar>
              <w:top w:w="60" w:type="dxa"/>
              <w:left w:w="120" w:type="dxa"/>
              <w:bottom w:w="30" w:type="dxa"/>
              <w:right w:w="120" w:type="dxa"/>
            </w:tcMar>
          </w:tcPr>
          <w:p w14:paraId="412ACED8">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≤14.0（药典≤16.0）</w:t>
            </w:r>
          </w:p>
        </w:tc>
      </w:tr>
      <w:tr w14:paraId="1CC7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2279" w:type="dxa"/>
            <w:tcMar>
              <w:top w:w="60" w:type="dxa"/>
              <w:left w:w="120" w:type="dxa"/>
              <w:bottom w:w="30" w:type="dxa"/>
              <w:right w:w="120" w:type="dxa"/>
            </w:tcMar>
          </w:tcPr>
          <w:p w14:paraId="4A5F0F29">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总灰分%</w:t>
            </w:r>
          </w:p>
        </w:tc>
        <w:tc>
          <w:tcPr>
            <w:tcW w:w="6380" w:type="dxa"/>
            <w:tcMar>
              <w:top w:w="60" w:type="dxa"/>
              <w:left w:w="120" w:type="dxa"/>
              <w:bottom w:w="30" w:type="dxa"/>
              <w:right w:w="120" w:type="dxa"/>
            </w:tcMar>
          </w:tcPr>
          <w:p w14:paraId="22E8E08D">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≤4.5（药典≤5.0）</w:t>
            </w:r>
          </w:p>
        </w:tc>
      </w:tr>
      <w:tr w14:paraId="09B8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2279" w:type="dxa"/>
            <w:tcMar>
              <w:top w:w="60" w:type="dxa"/>
              <w:left w:w="120" w:type="dxa"/>
              <w:bottom w:w="30" w:type="dxa"/>
              <w:right w:w="120" w:type="dxa"/>
            </w:tcMar>
          </w:tcPr>
          <w:p w14:paraId="7DD50C38">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醇溶性浸出物（45%乙醇，热浸）%</w:t>
            </w:r>
          </w:p>
        </w:tc>
        <w:tc>
          <w:tcPr>
            <w:tcW w:w="6380" w:type="dxa"/>
            <w:tcMar>
              <w:top w:w="60" w:type="dxa"/>
              <w:left w:w="120" w:type="dxa"/>
              <w:bottom w:w="30" w:type="dxa"/>
              <w:right w:w="120" w:type="dxa"/>
            </w:tcMar>
          </w:tcPr>
          <w:p w14:paraId="0CBB4DA9">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≥58.0（药典≥55.0）</w:t>
            </w:r>
          </w:p>
        </w:tc>
      </w:tr>
      <w:tr w14:paraId="5FCF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2279" w:type="dxa"/>
            <w:tcMar>
              <w:top w:w="60" w:type="dxa"/>
              <w:left w:w="120" w:type="dxa"/>
              <w:bottom w:w="30" w:type="dxa"/>
              <w:right w:w="120" w:type="dxa"/>
            </w:tcMar>
          </w:tcPr>
          <w:p w14:paraId="6401501F">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硒（mg/kg）</w:t>
            </w:r>
          </w:p>
        </w:tc>
        <w:tc>
          <w:tcPr>
            <w:tcW w:w="6380" w:type="dxa"/>
            <w:tcMar>
              <w:top w:w="60" w:type="dxa"/>
              <w:left w:w="120" w:type="dxa"/>
              <w:bottom w:w="30" w:type="dxa"/>
              <w:right w:w="120" w:type="dxa"/>
            </w:tcMar>
          </w:tcPr>
          <w:p w14:paraId="5102C151">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0.05～0.30</w:t>
            </w:r>
          </w:p>
        </w:tc>
      </w:tr>
    </w:tbl>
    <w:p w14:paraId="70F47984">
      <w:pPr>
        <w:rPr>
          <w:rFonts w:hint="eastAsia" w:ascii="宋体" w:hAnsi="宋体" w:eastAsia="宋体" w:cs="宋体"/>
          <w:color w:val="auto"/>
          <w:sz w:val="21"/>
          <w:szCs w:val="21"/>
        </w:rPr>
      </w:pPr>
      <w:r>
        <w:rPr>
          <w:rFonts w:hint="eastAsia" w:ascii="宋体" w:hAnsi="宋体" w:eastAsia="宋体" w:cs="宋体"/>
          <w:color w:val="auto"/>
          <w:sz w:val="21"/>
          <w:szCs w:val="21"/>
        </w:rPr>
        <w:t>注：本文件理化指标严于《中华人民共和国药典》2025 版川党参通用限度要求。</w:t>
      </w:r>
    </w:p>
    <w:p w14:paraId="7DB2D225">
      <w:pPr>
        <w:spacing w:before="300" w:after="120" w:line="288" w:lineRule="auto"/>
        <w:ind w:left="0"/>
        <w:jc w:val="left"/>
        <w:outlineLvl w:val="2"/>
        <w:rPr>
          <w:rFonts w:hint="eastAsia" w:ascii="宋体" w:hAnsi="宋体" w:eastAsia="宋体" w:cs="宋体"/>
          <w:b/>
          <w:sz w:val="24"/>
          <w:szCs w:val="24"/>
        </w:rPr>
      </w:pPr>
      <w:bookmarkStart w:id="38" w:name="heading_38"/>
      <w:r>
        <w:rPr>
          <w:rFonts w:hint="eastAsia" w:ascii="宋体" w:hAnsi="宋体" w:eastAsia="宋体" w:cs="宋体"/>
          <w:b/>
          <w:sz w:val="24"/>
          <w:szCs w:val="24"/>
        </w:rPr>
        <w:t>9.3 安全指标</w:t>
      </w:r>
      <w:bookmarkEnd w:id="38"/>
    </w:p>
    <w:p w14:paraId="3EA2561D">
      <w:pPr>
        <w:spacing w:before="300" w:after="120" w:line="288" w:lineRule="auto"/>
        <w:ind w:firstLine="480" w:firstLineChars="200"/>
        <w:jc w:val="left"/>
        <w:outlineLvl w:val="2"/>
        <w:rPr>
          <w:rFonts w:hint="eastAsia" w:ascii="宋体" w:hAnsi="宋体" w:eastAsia="宋体" w:cs="宋体"/>
          <w:sz w:val="24"/>
          <w:szCs w:val="24"/>
        </w:rPr>
      </w:pPr>
      <w:r>
        <w:rPr>
          <w:rFonts w:hint="eastAsia" w:ascii="宋体" w:hAnsi="宋体" w:eastAsia="宋体" w:cs="宋体"/>
          <w:sz w:val="24"/>
          <w:szCs w:val="24"/>
        </w:rPr>
        <w:t>全部执行《中华人民共和国药典》2025年版四部相关测定通则。</w:t>
      </w:r>
    </w:p>
    <w:p w14:paraId="238150F5">
      <w:pPr>
        <w:numPr>
          <w:ilvl w:val="0"/>
          <w:numId w:val="0"/>
        </w:numPr>
        <w:spacing w:before="300" w:after="120" w:line="288" w:lineRule="auto"/>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 xml:space="preserve">9.3.1  </w:t>
      </w:r>
      <w:r>
        <w:rPr>
          <w:rFonts w:hint="eastAsia" w:ascii="宋体" w:hAnsi="宋体" w:eastAsia="宋体" w:cs="宋体"/>
          <w:sz w:val="24"/>
          <w:szCs w:val="24"/>
        </w:rPr>
        <w:t>重金属及有害元素：按</w:t>
      </w:r>
      <w:bookmarkStart w:id="54" w:name="_GoBack"/>
      <w:bookmarkEnd w:id="54"/>
      <w:r>
        <w:rPr>
          <w:rFonts w:hint="eastAsia" w:ascii="宋体" w:hAnsi="宋体" w:eastAsia="宋体" w:cs="宋体"/>
          <w:sz w:val="24"/>
          <w:szCs w:val="24"/>
        </w:rPr>
        <w:t>通则2321测定；执行通则0212药材和饮片检定通则植物类中药材限量：铅≤5mg/kg，镉≤1mg/kg，砷≤2mg/kg，汞≤0.2mg/kg，铜≤20mg/kg。</w:t>
      </w:r>
    </w:p>
    <w:p w14:paraId="5E3B40EA">
      <w:pPr>
        <w:numPr>
          <w:ilvl w:val="0"/>
          <w:numId w:val="0"/>
        </w:numPr>
        <w:spacing w:before="300" w:after="120" w:line="288" w:lineRule="auto"/>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 xml:space="preserve">9.3.2  </w:t>
      </w:r>
      <w:r>
        <w:rPr>
          <w:rFonts w:hint="eastAsia" w:ascii="宋体" w:hAnsi="宋体" w:eastAsia="宋体" w:cs="宋体"/>
          <w:sz w:val="24"/>
          <w:szCs w:val="24"/>
        </w:rPr>
        <w:t>农药残留：按通则2341农药残留量测定法测定；33种禁用农药不得检出（低于定量限），其余农药残留符合药典相关规定。</w:t>
      </w:r>
    </w:p>
    <w:p w14:paraId="4DF616F7">
      <w:pPr>
        <w:numPr>
          <w:ilvl w:val="0"/>
          <w:numId w:val="0"/>
        </w:numPr>
        <w:spacing w:before="300" w:after="120" w:line="288" w:lineRule="auto"/>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 xml:space="preserve">9.3.3  </w:t>
      </w:r>
      <w:r>
        <w:rPr>
          <w:rFonts w:hint="eastAsia" w:ascii="宋体" w:hAnsi="宋体" w:eastAsia="宋体" w:cs="宋体"/>
          <w:sz w:val="24"/>
          <w:szCs w:val="24"/>
        </w:rPr>
        <w:t>真菌毒素：按通则2351真菌毒素测定法测定，重点控制黄曲霉毒素污染。</w:t>
      </w:r>
    </w:p>
    <w:p w14:paraId="7296A23F">
      <w:pPr>
        <w:numPr>
          <w:ilvl w:val="0"/>
          <w:numId w:val="0"/>
        </w:numPr>
        <w:spacing w:before="300" w:after="120" w:line="288" w:lineRule="auto"/>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 xml:space="preserve">9.3.4  </w:t>
      </w:r>
      <w:r>
        <w:rPr>
          <w:rFonts w:hint="eastAsia" w:ascii="宋体" w:hAnsi="宋体" w:eastAsia="宋体" w:cs="宋体"/>
          <w:sz w:val="24"/>
          <w:szCs w:val="24"/>
        </w:rPr>
        <w:t>二氧化硫残留量：按通则2331二氧化硫残留量测定法测定；党参药典限度≤400mg/kg；本产品加工禁止硫磺熏蒸，实际生产控制更低残留水平。</w:t>
      </w:r>
    </w:p>
    <w:p w14:paraId="3F1A885D">
      <w:pPr>
        <w:spacing w:before="320" w:after="120" w:line="288" w:lineRule="auto"/>
        <w:ind w:left="0"/>
        <w:jc w:val="left"/>
        <w:outlineLvl w:val="1"/>
        <w:rPr>
          <w:rFonts w:hint="eastAsia" w:ascii="宋体" w:hAnsi="宋体" w:eastAsia="宋体" w:cs="宋体"/>
          <w:sz w:val="24"/>
          <w:szCs w:val="24"/>
        </w:rPr>
      </w:pPr>
      <w:bookmarkStart w:id="39" w:name="heading_39"/>
      <w:r>
        <w:rPr>
          <w:rFonts w:hint="eastAsia" w:ascii="宋体" w:hAnsi="宋体" w:eastAsia="宋体" w:cs="宋体"/>
          <w:b/>
          <w:sz w:val="24"/>
          <w:szCs w:val="24"/>
        </w:rPr>
        <w:t>10 试验方法</w:t>
      </w:r>
      <w:bookmarkEnd w:id="39"/>
    </w:p>
    <w:p w14:paraId="20F9E909">
      <w:pPr>
        <w:spacing w:before="300" w:after="120" w:line="288" w:lineRule="auto"/>
        <w:ind w:left="0"/>
        <w:jc w:val="left"/>
        <w:outlineLvl w:val="2"/>
        <w:rPr>
          <w:rFonts w:hint="eastAsia" w:ascii="宋体" w:hAnsi="宋体" w:eastAsia="宋体" w:cs="宋体"/>
          <w:sz w:val="24"/>
          <w:szCs w:val="24"/>
        </w:rPr>
      </w:pPr>
      <w:bookmarkStart w:id="40" w:name="heading_40"/>
      <w:r>
        <w:rPr>
          <w:rFonts w:hint="eastAsia" w:ascii="宋体" w:hAnsi="宋体" w:eastAsia="宋体" w:cs="宋体"/>
          <w:b/>
          <w:sz w:val="24"/>
          <w:szCs w:val="24"/>
        </w:rPr>
        <w:t>10.1 感官特性</w:t>
      </w:r>
      <w:bookmarkEnd w:id="40"/>
    </w:p>
    <w:p w14:paraId="7F017744">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自然光条件下，采用目测、鼻嗅、口尝，按9.1逐项判定。</w:t>
      </w:r>
    </w:p>
    <w:p w14:paraId="26CDB328">
      <w:pPr>
        <w:spacing w:before="300" w:after="120" w:line="288" w:lineRule="auto"/>
        <w:ind w:left="0"/>
        <w:jc w:val="left"/>
        <w:outlineLvl w:val="2"/>
        <w:rPr>
          <w:rFonts w:hint="eastAsia" w:ascii="宋体" w:hAnsi="宋体" w:eastAsia="宋体" w:cs="宋体"/>
          <w:sz w:val="24"/>
          <w:szCs w:val="24"/>
        </w:rPr>
      </w:pPr>
      <w:bookmarkStart w:id="41" w:name="heading_41"/>
      <w:r>
        <w:rPr>
          <w:rFonts w:hint="eastAsia" w:ascii="宋体" w:hAnsi="宋体" w:eastAsia="宋体" w:cs="宋体"/>
          <w:b/>
          <w:sz w:val="24"/>
          <w:szCs w:val="24"/>
        </w:rPr>
        <w:t>10.2 理化指标</w:t>
      </w:r>
      <w:bookmarkEnd w:id="41"/>
    </w:p>
    <w:p w14:paraId="19A0DAB3">
      <w:pPr>
        <w:numPr>
          <w:ilvl w:val="0"/>
          <w:numId w:val="0"/>
        </w:numPr>
        <w:spacing w:before="120" w:after="120" w:line="288"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水分：《中华人民共和国药典》2025年版四部 通则0832第二法（烘干法）</w:t>
      </w:r>
    </w:p>
    <w:p w14:paraId="18AA1EA5">
      <w:pPr>
        <w:numPr>
          <w:ilvl w:val="0"/>
          <w:numId w:val="0"/>
        </w:numPr>
        <w:spacing w:before="120" w:after="120" w:line="288"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总灰分：通则2302</w:t>
      </w:r>
    </w:p>
    <w:p w14:paraId="1AB2785B">
      <w:pPr>
        <w:numPr>
          <w:ilvl w:val="0"/>
          <w:numId w:val="0"/>
        </w:numPr>
        <w:spacing w:before="120" w:after="120" w:line="288"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醇溶性浸出物（45%乙醇，热浸）：通则2201</w:t>
      </w:r>
    </w:p>
    <w:p w14:paraId="47ED0EB8">
      <w:pPr>
        <w:numPr>
          <w:ilvl w:val="0"/>
          <w:numId w:val="0"/>
        </w:numPr>
        <w:spacing w:before="120" w:after="120" w:line="288"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硒：按现行国家分析测试标准测定。</w:t>
      </w:r>
    </w:p>
    <w:p w14:paraId="36B124E4">
      <w:pPr>
        <w:spacing w:before="300" w:after="120" w:line="288" w:lineRule="auto"/>
        <w:ind w:left="0"/>
        <w:jc w:val="left"/>
        <w:outlineLvl w:val="2"/>
        <w:rPr>
          <w:rFonts w:hint="eastAsia" w:ascii="宋体" w:hAnsi="宋体" w:eastAsia="宋体" w:cs="宋体"/>
          <w:sz w:val="24"/>
          <w:szCs w:val="24"/>
        </w:rPr>
      </w:pPr>
      <w:bookmarkStart w:id="42" w:name="heading_42"/>
      <w:r>
        <w:rPr>
          <w:rFonts w:hint="eastAsia" w:ascii="宋体" w:hAnsi="宋体" w:eastAsia="宋体" w:cs="宋体"/>
          <w:b/>
          <w:sz w:val="24"/>
          <w:szCs w:val="24"/>
        </w:rPr>
        <w:t>10.3 安全指标</w:t>
      </w:r>
      <w:bookmarkEnd w:id="42"/>
    </w:p>
    <w:p w14:paraId="7BA2358E">
      <w:pPr>
        <w:numPr>
          <w:ilvl w:val="0"/>
          <w:numId w:val="0"/>
        </w:numPr>
        <w:spacing w:before="120" w:after="120" w:line="288"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重金属及有害元素：《中华人民共和国药典》2025年版四部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通则2321</w:t>
      </w:r>
    </w:p>
    <w:p w14:paraId="276F0562">
      <w:pPr>
        <w:numPr>
          <w:ilvl w:val="0"/>
          <w:numId w:val="0"/>
        </w:numPr>
        <w:spacing w:before="120" w:after="120" w:line="288"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农药残留：通则 2341</w:t>
      </w:r>
    </w:p>
    <w:p w14:paraId="349DC95A">
      <w:pPr>
        <w:numPr>
          <w:ilvl w:val="0"/>
          <w:numId w:val="0"/>
        </w:numPr>
        <w:spacing w:before="120" w:after="120" w:line="288"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真菌毒素：通则 2351</w:t>
      </w:r>
    </w:p>
    <w:p w14:paraId="51D10199">
      <w:pPr>
        <w:numPr>
          <w:ilvl w:val="0"/>
          <w:numId w:val="0"/>
        </w:numPr>
        <w:spacing w:before="120" w:after="120" w:line="288"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二氧化硫残留量：通则 2331</w:t>
      </w:r>
    </w:p>
    <w:p w14:paraId="0D494FCA">
      <w:pPr>
        <w:spacing w:before="320" w:after="120" w:line="288" w:lineRule="auto"/>
        <w:ind w:left="0"/>
        <w:jc w:val="left"/>
        <w:outlineLvl w:val="1"/>
        <w:rPr>
          <w:rFonts w:hint="eastAsia" w:ascii="宋体" w:hAnsi="宋体" w:eastAsia="宋体" w:cs="宋体"/>
          <w:sz w:val="24"/>
          <w:szCs w:val="24"/>
        </w:rPr>
      </w:pPr>
      <w:bookmarkStart w:id="43" w:name="heading_43"/>
      <w:r>
        <w:rPr>
          <w:rFonts w:hint="eastAsia" w:ascii="宋体" w:hAnsi="宋体" w:eastAsia="宋体" w:cs="宋体"/>
          <w:b/>
          <w:sz w:val="24"/>
          <w:szCs w:val="24"/>
        </w:rPr>
        <w:t>11 检验规则</w:t>
      </w:r>
      <w:bookmarkEnd w:id="43"/>
    </w:p>
    <w:p w14:paraId="69B8644A">
      <w:pPr>
        <w:spacing w:before="300" w:after="120" w:line="288" w:lineRule="auto"/>
        <w:ind w:left="0"/>
        <w:jc w:val="left"/>
        <w:outlineLvl w:val="2"/>
        <w:rPr>
          <w:rFonts w:hint="eastAsia" w:ascii="宋体" w:hAnsi="宋体" w:eastAsia="宋体" w:cs="宋体"/>
          <w:sz w:val="24"/>
          <w:szCs w:val="24"/>
        </w:rPr>
      </w:pPr>
      <w:bookmarkStart w:id="44" w:name="heading_44"/>
      <w:r>
        <w:rPr>
          <w:rFonts w:hint="eastAsia" w:ascii="宋体" w:hAnsi="宋体" w:eastAsia="宋体" w:cs="宋体"/>
          <w:b/>
          <w:sz w:val="24"/>
          <w:szCs w:val="24"/>
        </w:rPr>
        <w:t>11.1 组批</w:t>
      </w:r>
      <w:bookmarkEnd w:id="44"/>
    </w:p>
    <w:p w14:paraId="16385FDD">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同一产地、同一品种、同期采收加工的八仙党参作为一批。</w:t>
      </w:r>
    </w:p>
    <w:p w14:paraId="455D8925">
      <w:pPr>
        <w:spacing w:before="300" w:after="120" w:line="288" w:lineRule="auto"/>
        <w:ind w:left="0"/>
        <w:jc w:val="left"/>
        <w:outlineLvl w:val="2"/>
        <w:rPr>
          <w:rFonts w:hint="eastAsia" w:ascii="宋体" w:hAnsi="宋体" w:eastAsia="宋体" w:cs="宋体"/>
          <w:sz w:val="24"/>
          <w:szCs w:val="24"/>
        </w:rPr>
      </w:pPr>
      <w:bookmarkStart w:id="45" w:name="heading_45"/>
      <w:r>
        <w:rPr>
          <w:rFonts w:hint="eastAsia" w:ascii="宋体" w:hAnsi="宋体" w:eastAsia="宋体" w:cs="宋体"/>
          <w:b/>
          <w:sz w:val="24"/>
          <w:szCs w:val="24"/>
        </w:rPr>
        <w:t>11.2 抽样</w:t>
      </w:r>
      <w:bookmarkEnd w:id="45"/>
    </w:p>
    <w:p w14:paraId="64347966">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按《中华人民共和国药典》2025年版四部通则0211药材取样法执行。</w:t>
      </w:r>
    </w:p>
    <w:p w14:paraId="6A2E44F4">
      <w:pPr>
        <w:spacing w:before="300" w:after="120" w:line="288" w:lineRule="auto"/>
        <w:ind w:left="0"/>
        <w:jc w:val="left"/>
        <w:outlineLvl w:val="2"/>
        <w:rPr>
          <w:rFonts w:hint="eastAsia" w:ascii="宋体" w:hAnsi="宋体" w:eastAsia="宋体" w:cs="宋体"/>
          <w:sz w:val="24"/>
          <w:szCs w:val="24"/>
        </w:rPr>
      </w:pPr>
      <w:bookmarkStart w:id="46" w:name="heading_46"/>
      <w:r>
        <w:rPr>
          <w:rFonts w:hint="eastAsia" w:ascii="宋体" w:hAnsi="宋体" w:eastAsia="宋体" w:cs="宋体"/>
          <w:b/>
          <w:sz w:val="24"/>
          <w:szCs w:val="24"/>
        </w:rPr>
        <w:t>11.3 交收检验</w:t>
      </w:r>
      <w:bookmarkEnd w:id="46"/>
    </w:p>
    <w:p w14:paraId="1B7388C7">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交收检验项目：感官特性、水分、总灰分、醇溶性浸出物、二氧化硫残留量。</w:t>
      </w:r>
    </w:p>
    <w:p w14:paraId="3BF7DF97">
      <w:pPr>
        <w:spacing w:before="300" w:after="120" w:line="288" w:lineRule="auto"/>
        <w:ind w:left="0"/>
        <w:jc w:val="left"/>
        <w:outlineLvl w:val="2"/>
        <w:rPr>
          <w:rFonts w:hint="eastAsia" w:ascii="宋体" w:hAnsi="宋体" w:eastAsia="宋体" w:cs="宋体"/>
          <w:sz w:val="24"/>
          <w:szCs w:val="24"/>
        </w:rPr>
      </w:pPr>
      <w:bookmarkStart w:id="47" w:name="heading_47"/>
      <w:r>
        <w:rPr>
          <w:rFonts w:hint="eastAsia" w:ascii="宋体" w:hAnsi="宋体" w:eastAsia="宋体" w:cs="宋体"/>
          <w:b/>
          <w:sz w:val="24"/>
          <w:szCs w:val="24"/>
        </w:rPr>
        <w:t>11.4 型式检验</w:t>
      </w:r>
      <w:bookmarkEnd w:id="47"/>
    </w:p>
    <w:p w14:paraId="510BC11D">
      <w:pPr>
        <w:spacing w:before="120" w:after="120" w:line="288" w:lineRule="auto"/>
        <w:ind w:left="437" w:leftChars="208" w:firstLine="0" w:firstLineChars="0"/>
        <w:jc w:val="left"/>
        <w:rPr>
          <w:rFonts w:hint="eastAsia" w:ascii="宋体" w:hAnsi="宋体" w:eastAsia="宋体" w:cs="宋体"/>
          <w:sz w:val="24"/>
          <w:szCs w:val="24"/>
        </w:rPr>
      </w:pPr>
      <w:r>
        <w:rPr>
          <w:rFonts w:hint="eastAsia" w:ascii="宋体" w:hAnsi="宋体" w:eastAsia="宋体" w:cs="宋体"/>
          <w:sz w:val="24"/>
          <w:szCs w:val="24"/>
        </w:rPr>
        <w:t>有下列情形之一，应开展型式检验：</w:t>
      </w:r>
    </w:p>
    <w:p w14:paraId="20BA66B0">
      <w:pPr>
        <w:numPr>
          <w:ilvl w:val="0"/>
          <w:numId w:val="0"/>
        </w:numPr>
        <w:spacing w:before="120" w:after="120" w:line="288" w:lineRule="auto"/>
        <w:ind w:leftChars="208"/>
        <w:jc w:val="left"/>
        <w:rPr>
          <w:rFonts w:hint="eastAsia" w:ascii="宋体" w:hAnsi="宋体" w:eastAsia="宋体" w:cs="宋体"/>
          <w:sz w:val="24"/>
          <w:szCs w:val="24"/>
        </w:rPr>
      </w:pPr>
      <w:r>
        <w:rPr>
          <w:rFonts w:hint="eastAsia" w:ascii="宋体" w:hAnsi="宋体" w:eastAsia="宋体" w:cs="宋体"/>
          <w:sz w:val="24"/>
          <w:szCs w:val="24"/>
        </w:rPr>
        <w:t>产地环境、种植加工工艺发生重大变更；</w:t>
      </w:r>
    </w:p>
    <w:p w14:paraId="479CE6FB">
      <w:pPr>
        <w:numPr>
          <w:ilvl w:val="0"/>
          <w:numId w:val="0"/>
        </w:numPr>
        <w:spacing w:before="120" w:after="120" w:line="288" w:lineRule="auto"/>
        <w:ind w:leftChars="208"/>
        <w:jc w:val="left"/>
        <w:rPr>
          <w:rFonts w:hint="eastAsia" w:ascii="宋体" w:hAnsi="宋体" w:eastAsia="宋体" w:cs="宋体"/>
          <w:sz w:val="24"/>
          <w:szCs w:val="24"/>
        </w:rPr>
      </w:pPr>
      <w:r>
        <w:rPr>
          <w:rFonts w:hint="eastAsia" w:ascii="宋体" w:hAnsi="宋体" w:eastAsia="宋体" w:cs="宋体"/>
          <w:sz w:val="24"/>
          <w:szCs w:val="24"/>
        </w:rPr>
        <w:t>连续两批产品检验结果差异较大；</w:t>
      </w:r>
    </w:p>
    <w:p w14:paraId="48B01AD4">
      <w:pPr>
        <w:numPr>
          <w:ilvl w:val="0"/>
          <w:numId w:val="0"/>
        </w:numPr>
        <w:spacing w:before="120" w:after="120" w:line="288" w:lineRule="auto"/>
        <w:ind w:leftChars="208"/>
        <w:jc w:val="left"/>
        <w:rPr>
          <w:rFonts w:hint="eastAsia" w:ascii="宋体" w:hAnsi="宋体" w:eastAsia="宋体" w:cs="宋体"/>
          <w:sz w:val="24"/>
          <w:szCs w:val="24"/>
          <w:lang w:eastAsia="zh-CN"/>
        </w:rPr>
      </w:pPr>
      <w:r>
        <w:rPr>
          <w:rFonts w:hint="eastAsia" w:ascii="宋体" w:hAnsi="宋体" w:eastAsia="宋体" w:cs="宋体"/>
          <w:sz w:val="24"/>
          <w:szCs w:val="24"/>
        </w:rPr>
        <w:t>国家、行业监管部门提出型式检验要求</w:t>
      </w:r>
      <w:r>
        <w:rPr>
          <w:rFonts w:hint="eastAsia" w:ascii="宋体" w:hAnsi="宋体" w:eastAsia="宋体" w:cs="宋体"/>
          <w:sz w:val="24"/>
          <w:szCs w:val="24"/>
          <w:lang w:eastAsia="zh-CN"/>
        </w:rPr>
        <w:t>；</w:t>
      </w:r>
    </w:p>
    <w:p w14:paraId="0311287E">
      <w:pPr>
        <w:numPr>
          <w:ilvl w:val="0"/>
          <w:numId w:val="0"/>
        </w:numPr>
        <w:spacing w:before="120" w:after="120" w:line="288" w:lineRule="auto"/>
        <w:ind w:leftChars="208"/>
        <w:jc w:val="left"/>
        <w:rPr>
          <w:rFonts w:hint="eastAsia" w:ascii="宋体" w:hAnsi="宋体" w:eastAsia="宋体" w:cs="宋体"/>
          <w:sz w:val="24"/>
          <w:szCs w:val="24"/>
        </w:rPr>
      </w:pPr>
      <w:r>
        <w:rPr>
          <w:rFonts w:hint="eastAsia" w:ascii="宋体" w:hAnsi="宋体" w:eastAsia="宋体" w:cs="宋体"/>
          <w:sz w:val="24"/>
          <w:szCs w:val="24"/>
        </w:rPr>
        <w:t>型式检验为本文件第9章全部项目。</w:t>
      </w:r>
    </w:p>
    <w:p w14:paraId="71B908E1">
      <w:pPr>
        <w:spacing w:before="300" w:after="120" w:line="288" w:lineRule="auto"/>
        <w:ind w:left="0"/>
        <w:jc w:val="left"/>
        <w:outlineLvl w:val="2"/>
        <w:rPr>
          <w:rFonts w:hint="eastAsia" w:ascii="宋体" w:hAnsi="宋体" w:eastAsia="宋体" w:cs="宋体"/>
          <w:sz w:val="24"/>
          <w:szCs w:val="24"/>
        </w:rPr>
      </w:pPr>
      <w:bookmarkStart w:id="48" w:name="heading_48"/>
      <w:r>
        <w:rPr>
          <w:rFonts w:hint="eastAsia" w:ascii="宋体" w:hAnsi="宋体" w:eastAsia="宋体" w:cs="宋体"/>
          <w:b/>
          <w:sz w:val="24"/>
          <w:szCs w:val="24"/>
        </w:rPr>
        <w:t>11.5 判定规则</w:t>
      </w:r>
      <w:bookmarkEnd w:id="48"/>
    </w:p>
    <w:p w14:paraId="12E34360">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全部检验项目合格，则判该批产品合格。</w:t>
      </w:r>
    </w:p>
    <w:p w14:paraId="5510E60D">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感官、理化指标不合格，允许加倍抽样复检，复检合格判合格；复检仍不合格判该批不合格。</w:t>
      </w:r>
    </w:p>
    <w:p w14:paraId="6FAB71EE">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安全指标不合格，</w:t>
      </w:r>
      <w:r>
        <w:rPr>
          <w:rFonts w:hint="eastAsia" w:ascii="宋体" w:hAnsi="宋体" w:eastAsia="宋体" w:cs="宋体"/>
          <w:b w:val="0"/>
          <w:bCs/>
          <w:sz w:val="24"/>
          <w:szCs w:val="24"/>
        </w:rPr>
        <w:t>不允许复检，直接判定该批产品不合格。</w:t>
      </w:r>
    </w:p>
    <w:p w14:paraId="1D70CE8E">
      <w:pPr>
        <w:spacing w:before="320" w:after="120" w:line="288" w:lineRule="auto"/>
        <w:ind w:left="0"/>
        <w:jc w:val="left"/>
        <w:outlineLvl w:val="1"/>
        <w:rPr>
          <w:rFonts w:hint="eastAsia" w:ascii="宋体" w:hAnsi="宋体" w:eastAsia="宋体" w:cs="宋体"/>
          <w:sz w:val="24"/>
          <w:szCs w:val="24"/>
        </w:rPr>
      </w:pPr>
      <w:bookmarkStart w:id="49" w:name="heading_49"/>
      <w:r>
        <w:rPr>
          <w:rFonts w:hint="eastAsia" w:ascii="宋体" w:hAnsi="宋体" w:eastAsia="宋体" w:cs="宋体"/>
          <w:b/>
          <w:sz w:val="24"/>
          <w:szCs w:val="24"/>
        </w:rPr>
        <w:t>12 标志、包装、运输、贮存</w:t>
      </w:r>
      <w:bookmarkEnd w:id="49"/>
    </w:p>
    <w:p w14:paraId="711CF323">
      <w:pPr>
        <w:spacing w:before="300" w:after="120" w:line="288" w:lineRule="auto"/>
        <w:ind w:left="0"/>
        <w:jc w:val="left"/>
        <w:outlineLvl w:val="2"/>
        <w:rPr>
          <w:rFonts w:hint="eastAsia" w:ascii="宋体" w:hAnsi="宋体" w:eastAsia="宋体" w:cs="宋体"/>
          <w:sz w:val="24"/>
          <w:szCs w:val="24"/>
        </w:rPr>
      </w:pPr>
      <w:bookmarkStart w:id="50" w:name="heading_50"/>
      <w:r>
        <w:rPr>
          <w:rFonts w:hint="eastAsia" w:ascii="宋体" w:hAnsi="宋体" w:eastAsia="宋体" w:cs="宋体"/>
          <w:b/>
          <w:sz w:val="24"/>
          <w:szCs w:val="24"/>
        </w:rPr>
        <w:t>12.1 标志</w:t>
      </w:r>
      <w:bookmarkEnd w:id="50"/>
    </w:p>
    <w:p w14:paraId="039EA5F8">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产品包装应标注地理标志产品专用标志、产品名称、产地、等级、生产日期、保质期、生产单位。</w:t>
      </w:r>
    </w:p>
    <w:p w14:paraId="089A9505">
      <w:pPr>
        <w:spacing w:before="300" w:after="120" w:line="288" w:lineRule="auto"/>
        <w:ind w:left="0"/>
        <w:jc w:val="left"/>
        <w:outlineLvl w:val="2"/>
        <w:rPr>
          <w:rFonts w:hint="eastAsia" w:ascii="宋体" w:hAnsi="宋体" w:eastAsia="宋体" w:cs="宋体"/>
          <w:sz w:val="24"/>
          <w:szCs w:val="24"/>
        </w:rPr>
      </w:pPr>
      <w:bookmarkStart w:id="51" w:name="heading_51"/>
      <w:r>
        <w:rPr>
          <w:rFonts w:hint="eastAsia" w:ascii="宋体" w:hAnsi="宋体" w:eastAsia="宋体" w:cs="宋体"/>
          <w:b/>
          <w:sz w:val="24"/>
          <w:szCs w:val="24"/>
        </w:rPr>
        <w:t>12.2 包装</w:t>
      </w:r>
      <w:bookmarkEnd w:id="51"/>
    </w:p>
    <w:p w14:paraId="492F0F60">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内包装采用洁净纸袋；外包装使用瓦楞纸箱；包装材料干燥透气、无污染、无异味。</w:t>
      </w:r>
    </w:p>
    <w:p w14:paraId="65F63234">
      <w:pPr>
        <w:spacing w:before="300" w:after="120" w:line="288" w:lineRule="auto"/>
        <w:ind w:left="0"/>
        <w:jc w:val="left"/>
        <w:outlineLvl w:val="2"/>
        <w:rPr>
          <w:rFonts w:hint="eastAsia" w:ascii="宋体" w:hAnsi="宋体" w:eastAsia="宋体" w:cs="宋体"/>
          <w:sz w:val="24"/>
          <w:szCs w:val="24"/>
        </w:rPr>
      </w:pPr>
      <w:bookmarkStart w:id="52" w:name="heading_52"/>
      <w:r>
        <w:rPr>
          <w:rFonts w:hint="eastAsia" w:ascii="宋体" w:hAnsi="宋体" w:eastAsia="宋体" w:cs="宋体"/>
          <w:b/>
          <w:sz w:val="24"/>
          <w:szCs w:val="24"/>
        </w:rPr>
        <w:t>12.3 运输</w:t>
      </w:r>
      <w:bookmarkEnd w:id="52"/>
    </w:p>
    <w:p w14:paraId="2021825E">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运输工具应洁净、干燥、通风，做好防雨、防晒、防潮；不得与有毒、有害、有异味、有腐蚀性物品混装混运。</w:t>
      </w:r>
    </w:p>
    <w:p w14:paraId="0DC03B3B">
      <w:pPr>
        <w:spacing w:before="300" w:after="120" w:line="288" w:lineRule="auto"/>
        <w:ind w:left="0"/>
        <w:jc w:val="left"/>
        <w:outlineLvl w:val="2"/>
        <w:rPr>
          <w:rFonts w:hint="eastAsia" w:ascii="宋体" w:hAnsi="宋体" w:eastAsia="宋体" w:cs="宋体"/>
          <w:sz w:val="24"/>
          <w:szCs w:val="24"/>
        </w:rPr>
      </w:pPr>
      <w:bookmarkStart w:id="53" w:name="heading_53"/>
      <w:r>
        <w:rPr>
          <w:rFonts w:hint="eastAsia" w:ascii="宋体" w:hAnsi="宋体" w:eastAsia="宋体" w:cs="宋体"/>
          <w:b/>
          <w:sz w:val="24"/>
          <w:szCs w:val="24"/>
        </w:rPr>
        <w:t>12.4 贮存</w:t>
      </w:r>
      <w:bookmarkEnd w:id="53"/>
    </w:p>
    <w:p w14:paraId="1987E75B">
      <w:pPr>
        <w:spacing w:before="120" w:after="120" w:line="288" w:lineRule="auto"/>
        <w:ind w:left="0" w:firstLine="480" w:firstLineChars="200"/>
        <w:jc w:val="left"/>
        <w:rPr>
          <w:rFonts w:hint="eastAsia" w:ascii="宋体" w:hAnsi="宋体" w:eastAsia="宋体" w:cs="宋体"/>
          <w:sz w:val="24"/>
          <w:szCs w:val="24"/>
        </w:rPr>
      </w:pPr>
      <w:r>
        <w:rPr>
          <w:rFonts w:hint="eastAsia" w:ascii="宋体" w:hAnsi="宋体" w:eastAsia="宋体" w:cs="宋体"/>
          <w:sz w:val="24"/>
          <w:szCs w:val="24"/>
        </w:rPr>
        <w:t>存放于阴凉通风干燥库房</w:t>
      </w:r>
      <w:r>
        <w:rPr>
          <w:rFonts w:hint="eastAsia" w:ascii="宋体" w:hAnsi="宋体" w:eastAsia="宋体" w:cs="宋体"/>
          <w:sz w:val="24"/>
          <w:szCs w:val="24"/>
          <w:lang w:eastAsia="zh-CN"/>
        </w:rPr>
        <w:t>，</w:t>
      </w:r>
      <w:r>
        <w:rPr>
          <w:rFonts w:hint="eastAsia" w:ascii="宋体" w:hAnsi="宋体" w:eastAsia="宋体" w:cs="宋体"/>
          <w:sz w:val="24"/>
          <w:szCs w:val="24"/>
        </w:rPr>
        <w:t>库房温度≤2</w:t>
      </w:r>
      <w:r>
        <w:rPr>
          <w:rFonts w:hint="eastAsia" w:ascii="宋体" w:hAnsi="宋体" w:eastAsia="宋体" w:cs="宋体"/>
          <w:sz w:val="24"/>
          <w:szCs w:val="24"/>
          <w:lang w:val="en-US" w:eastAsia="zh-CN"/>
        </w:rPr>
        <w:t>0</w:t>
      </w:r>
      <w:r>
        <w:rPr>
          <w:rFonts w:hint="eastAsia" w:ascii="宋体" w:hAnsi="宋体" w:eastAsia="宋体" w:cs="宋体"/>
          <w:sz w:val="24"/>
          <w:szCs w:val="24"/>
        </w:rPr>
        <w:t>℃，相对湿度≤</w:t>
      </w:r>
      <w:r>
        <w:rPr>
          <w:rFonts w:hint="eastAsia" w:ascii="宋体" w:hAnsi="宋体" w:eastAsia="宋体" w:cs="宋体"/>
          <w:sz w:val="24"/>
          <w:szCs w:val="24"/>
          <w:lang w:val="en-US" w:eastAsia="zh-CN"/>
        </w:rPr>
        <w:t>6</w:t>
      </w:r>
      <w:r>
        <w:rPr>
          <w:rFonts w:hint="eastAsia" w:ascii="宋体" w:hAnsi="宋体" w:eastAsia="宋体" w:cs="宋体"/>
          <w:sz w:val="24"/>
          <w:szCs w:val="24"/>
        </w:rPr>
        <w:t>0%；做好防潮、防霉、防虫、防鼠；严禁与有毒有害物质混存。</w:t>
      </w:r>
    </w:p>
    <w:sectPr>
      <w:footerReference r:id="rId3" w:type="default"/>
      <w:pgSz w:w="11905" w:h="16840"/>
      <w:pgMar w:top="1440" w:right="1285"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507BA">
    <w:r>
      <w:rPr>
        <w:sz w:val="21"/>
      </w:rPr>
      <w:pict>
        <v:shape id="_x0000_s2050" o:spid="_x0000_s2050"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7A16458">
                <w:pPr>
                  <w:pStyle w:val="3"/>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99"/>
  <w:displayHorizontalDrawingGridEvery w:val="1"/>
  <w:displayVerticalDrawingGridEvery w:val="1"/>
  <w:noPunctuationKerning w:val="1"/>
  <w:hdrShapeDefaults>
    <o:shapelayout v:ext="edit">
      <o:idmap v:ext="edit" data="2"/>
    </o:shapelayout>
  </w:hdrShapeDefaults>
  <w:compat>
    <w:doNotExpandShiftReturn/>
    <w:doNotWrapTextWithPunct/>
    <w:doNotUseEastAsianBreakRules/>
    <w:useFELayout/>
    <w:splitPgBreakAndParaMark/>
    <w:compatSetting w:name="compatibilityMode" w:uri="http://schemas.microsoft.com/office/word" w:val="12"/>
  </w:compat>
  <w:docVars>
    <w:docVar w:name="commondata" w:val="eyJoZGlkIjoiZjYxMmQ1ZDNlNGUyZTBiM2U0OWZkZWY3YjBhMjk1MzEifQ=="/>
  </w:docVars>
  <w:rsids>
    <w:rsidRoot w:val="00000000"/>
    <w:rsid w:val="01351B01"/>
    <w:rsid w:val="0513F8C7"/>
    <w:rsid w:val="072B0FB7"/>
    <w:rsid w:val="0AE765F8"/>
    <w:rsid w:val="0DD56120"/>
    <w:rsid w:val="0F8E6586"/>
    <w:rsid w:val="150C2DEC"/>
    <w:rsid w:val="15E46F00"/>
    <w:rsid w:val="16646293"/>
    <w:rsid w:val="17F7B77D"/>
    <w:rsid w:val="17F92A0B"/>
    <w:rsid w:val="1A693932"/>
    <w:rsid w:val="1B6FB08F"/>
    <w:rsid w:val="1C9A4858"/>
    <w:rsid w:val="1D3A8247"/>
    <w:rsid w:val="1D7A9F1B"/>
    <w:rsid w:val="1D9F9384"/>
    <w:rsid w:val="1DBF9D24"/>
    <w:rsid w:val="1DE6172F"/>
    <w:rsid w:val="1FEF6841"/>
    <w:rsid w:val="205B75AB"/>
    <w:rsid w:val="21C34C84"/>
    <w:rsid w:val="26675603"/>
    <w:rsid w:val="277D3843"/>
    <w:rsid w:val="290B259E"/>
    <w:rsid w:val="2AD976AF"/>
    <w:rsid w:val="2BEA25D8"/>
    <w:rsid w:val="2CF36F12"/>
    <w:rsid w:val="2DBEF246"/>
    <w:rsid w:val="2EBA4E67"/>
    <w:rsid w:val="2EF2F68E"/>
    <w:rsid w:val="2EFF469F"/>
    <w:rsid w:val="33E664C3"/>
    <w:rsid w:val="33ED087F"/>
    <w:rsid w:val="35D11805"/>
    <w:rsid w:val="35FB60CA"/>
    <w:rsid w:val="377B81C9"/>
    <w:rsid w:val="397E6A88"/>
    <w:rsid w:val="3BAF045E"/>
    <w:rsid w:val="3BBBBEC5"/>
    <w:rsid w:val="3C5632F0"/>
    <w:rsid w:val="3DCC00F6"/>
    <w:rsid w:val="3ED79D3A"/>
    <w:rsid w:val="3EFE9084"/>
    <w:rsid w:val="3F3FFEDF"/>
    <w:rsid w:val="3F63C9D3"/>
    <w:rsid w:val="3F7D294C"/>
    <w:rsid w:val="3F8113D0"/>
    <w:rsid w:val="3FAD0005"/>
    <w:rsid w:val="3FBE23BA"/>
    <w:rsid w:val="3FDD1DD7"/>
    <w:rsid w:val="3FDF62D0"/>
    <w:rsid w:val="3FE794DD"/>
    <w:rsid w:val="3FFA54E2"/>
    <w:rsid w:val="3FFE4C4B"/>
    <w:rsid w:val="3FFF45E8"/>
    <w:rsid w:val="4290203A"/>
    <w:rsid w:val="4305119C"/>
    <w:rsid w:val="43EDC61F"/>
    <w:rsid w:val="46F3C04F"/>
    <w:rsid w:val="4F5D33CF"/>
    <w:rsid w:val="4FE64355"/>
    <w:rsid w:val="509E5922"/>
    <w:rsid w:val="51F9A1B4"/>
    <w:rsid w:val="52CEADD5"/>
    <w:rsid w:val="532F86C1"/>
    <w:rsid w:val="55BBE45D"/>
    <w:rsid w:val="573F1B9C"/>
    <w:rsid w:val="57F8000E"/>
    <w:rsid w:val="57FF8DC8"/>
    <w:rsid w:val="58793B0F"/>
    <w:rsid w:val="597DB55C"/>
    <w:rsid w:val="59ABF7B6"/>
    <w:rsid w:val="5A2A0227"/>
    <w:rsid w:val="5A92474A"/>
    <w:rsid w:val="5ABA2B1D"/>
    <w:rsid w:val="5B43D12F"/>
    <w:rsid w:val="5B6D4813"/>
    <w:rsid w:val="5BB7BFCE"/>
    <w:rsid w:val="5BC3CE6E"/>
    <w:rsid w:val="5BEF1848"/>
    <w:rsid w:val="5D9FF966"/>
    <w:rsid w:val="5DBC508A"/>
    <w:rsid w:val="5DF5DF8A"/>
    <w:rsid w:val="5E735AB2"/>
    <w:rsid w:val="5F4DD7C5"/>
    <w:rsid w:val="5F7E768A"/>
    <w:rsid w:val="5F9E76ED"/>
    <w:rsid w:val="5FD70DF3"/>
    <w:rsid w:val="5FDE40D7"/>
    <w:rsid w:val="5FF1E01A"/>
    <w:rsid w:val="5FF7A8A6"/>
    <w:rsid w:val="5FFFC0BB"/>
    <w:rsid w:val="62426543"/>
    <w:rsid w:val="635FD3FC"/>
    <w:rsid w:val="63CFC5DC"/>
    <w:rsid w:val="63ED2EAA"/>
    <w:rsid w:val="67FAE9E0"/>
    <w:rsid w:val="67FB4017"/>
    <w:rsid w:val="6A6415F6"/>
    <w:rsid w:val="6AFDEBE7"/>
    <w:rsid w:val="6AFE6997"/>
    <w:rsid w:val="6BDE5F90"/>
    <w:rsid w:val="6BE168CF"/>
    <w:rsid w:val="6BFB90AE"/>
    <w:rsid w:val="6DBF411D"/>
    <w:rsid w:val="6DF7D368"/>
    <w:rsid w:val="6DFBEA47"/>
    <w:rsid w:val="6E694C96"/>
    <w:rsid w:val="6EEB7DB4"/>
    <w:rsid w:val="6F77D5D8"/>
    <w:rsid w:val="6F7BA9A5"/>
    <w:rsid w:val="6F9F99D8"/>
    <w:rsid w:val="6FBED03F"/>
    <w:rsid w:val="6FBFD386"/>
    <w:rsid w:val="6FCF2AD3"/>
    <w:rsid w:val="6FFBFE86"/>
    <w:rsid w:val="6FFDFE12"/>
    <w:rsid w:val="70EBE857"/>
    <w:rsid w:val="73C92407"/>
    <w:rsid w:val="73D9089C"/>
    <w:rsid w:val="73F52268"/>
    <w:rsid w:val="73F59DE1"/>
    <w:rsid w:val="74343931"/>
    <w:rsid w:val="75EFACC3"/>
    <w:rsid w:val="75FF6492"/>
    <w:rsid w:val="76F16724"/>
    <w:rsid w:val="76F72AE0"/>
    <w:rsid w:val="77DD0276"/>
    <w:rsid w:val="77F52947"/>
    <w:rsid w:val="79AC25AE"/>
    <w:rsid w:val="79AF37B7"/>
    <w:rsid w:val="7A7A5609"/>
    <w:rsid w:val="7B3FCE33"/>
    <w:rsid w:val="7BEB3536"/>
    <w:rsid w:val="7BEF5EC5"/>
    <w:rsid w:val="7BFF67EA"/>
    <w:rsid w:val="7CE9CB31"/>
    <w:rsid w:val="7CFEF515"/>
    <w:rsid w:val="7D7AA515"/>
    <w:rsid w:val="7DE392D4"/>
    <w:rsid w:val="7DEC273C"/>
    <w:rsid w:val="7E5F95D2"/>
    <w:rsid w:val="7EBF5A49"/>
    <w:rsid w:val="7ED23484"/>
    <w:rsid w:val="7EEEC62D"/>
    <w:rsid w:val="7EEF62C7"/>
    <w:rsid w:val="7EF34E72"/>
    <w:rsid w:val="7EF7C2A4"/>
    <w:rsid w:val="7EFF8CE6"/>
    <w:rsid w:val="7F3433D2"/>
    <w:rsid w:val="7F679E67"/>
    <w:rsid w:val="7F6D431A"/>
    <w:rsid w:val="7F6FFED4"/>
    <w:rsid w:val="7F7537D0"/>
    <w:rsid w:val="7F7F0F1E"/>
    <w:rsid w:val="7F8FD681"/>
    <w:rsid w:val="7F94F514"/>
    <w:rsid w:val="7F9B19EE"/>
    <w:rsid w:val="7FAF851D"/>
    <w:rsid w:val="7FDD086D"/>
    <w:rsid w:val="7FEFABAD"/>
    <w:rsid w:val="7FFB1E4D"/>
    <w:rsid w:val="7FFB4A45"/>
    <w:rsid w:val="7FFB989D"/>
    <w:rsid w:val="7FFDFB79"/>
    <w:rsid w:val="7FFF9B03"/>
    <w:rsid w:val="96EFD43F"/>
    <w:rsid w:val="9AF50D5B"/>
    <w:rsid w:val="9BABE89E"/>
    <w:rsid w:val="9BFA7D0B"/>
    <w:rsid w:val="9ED76CFA"/>
    <w:rsid w:val="A11FE5D9"/>
    <w:rsid w:val="A1776C16"/>
    <w:rsid w:val="A7FA925F"/>
    <w:rsid w:val="A93F655B"/>
    <w:rsid w:val="ADF964DD"/>
    <w:rsid w:val="AEEF6B2F"/>
    <w:rsid w:val="AF7FCE4E"/>
    <w:rsid w:val="AFED5B37"/>
    <w:rsid w:val="AFEF6444"/>
    <w:rsid w:val="B35B006B"/>
    <w:rsid w:val="B68D15B2"/>
    <w:rsid w:val="B68F7E88"/>
    <w:rsid w:val="B76FEA2D"/>
    <w:rsid w:val="B7FD0E04"/>
    <w:rsid w:val="B8FF3353"/>
    <w:rsid w:val="BB7D239A"/>
    <w:rsid w:val="BBEA62D2"/>
    <w:rsid w:val="BDE01C74"/>
    <w:rsid w:val="BE6A08B1"/>
    <w:rsid w:val="BE7F8DC2"/>
    <w:rsid w:val="BEBF6B1B"/>
    <w:rsid w:val="BECD3111"/>
    <w:rsid w:val="BEEC53F2"/>
    <w:rsid w:val="BEFED8B5"/>
    <w:rsid w:val="BF782F35"/>
    <w:rsid w:val="BFAF7E56"/>
    <w:rsid w:val="BFEC2367"/>
    <w:rsid w:val="BFED21E7"/>
    <w:rsid w:val="BFEE7CFF"/>
    <w:rsid w:val="BFFD6972"/>
    <w:rsid w:val="C2DB2248"/>
    <w:rsid w:val="C47C9199"/>
    <w:rsid w:val="C7CFCCFF"/>
    <w:rsid w:val="C9EF2546"/>
    <w:rsid w:val="CA7EC871"/>
    <w:rsid w:val="CBBECFD6"/>
    <w:rsid w:val="CBEFAFF5"/>
    <w:rsid w:val="CE37B95E"/>
    <w:rsid w:val="CEF66EF9"/>
    <w:rsid w:val="CFE51811"/>
    <w:rsid w:val="D5F994D6"/>
    <w:rsid w:val="D5FF1D19"/>
    <w:rsid w:val="D67D4CAA"/>
    <w:rsid w:val="D7BFE95A"/>
    <w:rsid w:val="D7E95E40"/>
    <w:rsid w:val="D7FC0D37"/>
    <w:rsid w:val="D7FE26E9"/>
    <w:rsid w:val="D7FF0873"/>
    <w:rsid w:val="D7FFBBFE"/>
    <w:rsid w:val="D8FCEF1E"/>
    <w:rsid w:val="DAFF1C99"/>
    <w:rsid w:val="DB2FC085"/>
    <w:rsid w:val="DCFB587A"/>
    <w:rsid w:val="DD3F4ADB"/>
    <w:rsid w:val="DDDDFF12"/>
    <w:rsid w:val="DDFF29B7"/>
    <w:rsid w:val="DE3A3C0C"/>
    <w:rsid w:val="DF9EDADA"/>
    <w:rsid w:val="DFFF9F17"/>
    <w:rsid w:val="E5EF705E"/>
    <w:rsid w:val="E5FF1E25"/>
    <w:rsid w:val="E6A7EF68"/>
    <w:rsid w:val="E7B61646"/>
    <w:rsid w:val="E7F33B19"/>
    <w:rsid w:val="E7FFDC46"/>
    <w:rsid w:val="E9BE0B33"/>
    <w:rsid w:val="E9DF90CA"/>
    <w:rsid w:val="EB1F400C"/>
    <w:rsid w:val="EC3F9A5B"/>
    <w:rsid w:val="EC8FEB4D"/>
    <w:rsid w:val="ED6FF883"/>
    <w:rsid w:val="EDFE7C32"/>
    <w:rsid w:val="EE3F55B2"/>
    <w:rsid w:val="EEB92570"/>
    <w:rsid w:val="EF556B74"/>
    <w:rsid w:val="EF69B611"/>
    <w:rsid w:val="EF6D1D22"/>
    <w:rsid w:val="EF7737DC"/>
    <w:rsid w:val="EFEE4DA2"/>
    <w:rsid w:val="EFF3BE8D"/>
    <w:rsid w:val="F3FB5B2C"/>
    <w:rsid w:val="F3FD494A"/>
    <w:rsid w:val="F5DC481C"/>
    <w:rsid w:val="F67F16F8"/>
    <w:rsid w:val="F71D244D"/>
    <w:rsid w:val="F7752F25"/>
    <w:rsid w:val="F77F90D9"/>
    <w:rsid w:val="F7CD6FA5"/>
    <w:rsid w:val="F7DE2E1B"/>
    <w:rsid w:val="F7EF410B"/>
    <w:rsid w:val="F7FFEC42"/>
    <w:rsid w:val="F8FF7D61"/>
    <w:rsid w:val="F9373D5E"/>
    <w:rsid w:val="F9FA543F"/>
    <w:rsid w:val="FA7F721F"/>
    <w:rsid w:val="FB7B1B7E"/>
    <w:rsid w:val="FBBE8B3C"/>
    <w:rsid w:val="FBC53159"/>
    <w:rsid w:val="FBCE5027"/>
    <w:rsid w:val="FBDDE4E4"/>
    <w:rsid w:val="FBDFEA3D"/>
    <w:rsid w:val="FBEFC3BE"/>
    <w:rsid w:val="FBF2840D"/>
    <w:rsid w:val="FBFBD784"/>
    <w:rsid w:val="FDB75226"/>
    <w:rsid w:val="FDBD1EA2"/>
    <w:rsid w:val="FDECD72F"/>
    <w:rsid w:val="FDF712AB"/>
    <w:rsid w:val="FE6393D2"/>
    <w:rsid w:val="FE7F3801"/>
    <w:rsid w:val="FEBB02B2"/>
    <w:rsid w:val="FEBF62DC"/>
    <w:rsid w:val="FEFAE26D"/>
    <w:rsid w:val="FF372E4F"/>
    <w:rsid w:val="FF3E68B8"/>
    <w:rsid w:val="FF3F3137"/>
    <w:rsid w:val="FF59777A"/>
    <w:rsid w:val="FF7D4D58"/>
    <w:rsid w:val="FF7F1176"/>
    <w:rsid w:val="FFC7C6B9"/>
    <w:rsid w:val="FFCE078F"/>
    <w:rsid w:val="FFF5968E"/>
    <w:rsid w:val="FFFFB3A8"/>
    <w:rsid w:val="FFFFBB01"/>
    <w:rsid w:val="FFFFFA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textRotate="1"/>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4024</Words>
  <Characters>4918</Characters>
  <TotalTime>13</TotalTime>
  <ScaleCrop>false</ScaleCrop>
  <LinksUpToDate>false</LinksUpToDate>
  <CharactersWithSpaces>5005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2026-09-12T15:31:00Z</dcterms:created>
  <dc:creator>Apache POI</dc:creator>
  <cp:lastModifiedBy>Genius.</cp:lastModifiedBy>
  <cp:lastPrinted>2026-09-12T03:28:00Z</cp:lastPrinted>
  <dcterms:modified xsi:type="dcterms:W3CDTF">2026-09-16T02:16:38Z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{"Label":"1","ContentProducer":"001191110102MACQD9K64010000","ProduceID":"7683063768302373836","ReservedCode1":"","ContentPropagator":"","PropagateID":"","ReservedCode2":""}</vt:lpwstr>
  </property>
  <property fmtid="{D5CDD505-2E9C-101B-9397-08002B2CF9AE}" pid="3" name="KSOTemplateDocerSaveRecord">
    <vt:lpwstr>eyJoZGlkIjoiODg4NGZmYTc2YjViZDAxNzg2OThlNDM0YzNlMDFiMGEiLCJ1c2VySWQiOiI0MDMyNTU5NDEifQ==</vt:lpwstr>
  </property>
  <property fmtid="{D5CDD505-2E9C-101B-9397-08002B2CF9AE}" pid="4" name="KSOProductBuildVer">
    <vt:lpwstr>2052-12.1.0.28043</vt:lpwstr>
  </property>
  <property fmtid="{D5CDD505-2E9C-101B-9397-08002B2CF9AE}" pid="5" name="ICV">
    <vt:lpwstr>B415ADF6A193410C81751939700E9087_12</vt:lpwstr>
  </property>
</Properties>
</file>