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0F2C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rPr>
          <w:rFonts w:hint="eastAsia" w:ascii="方正小标宋简体" w:eastAsia="方正小标宋简体"/>
          <w:sz w:val="44"/>
          <w:szCs w:val="36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</w:p>
    <w:p w14:paraId="7C1BA7E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不符合规定项目的小知识</w:t>
      </w:r>
    </w:p>
    <w:p w14:paraId="429A795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 w14:paraId="4EC86FF0">
      <w:pPr>
        <w:numPr>
          <w:ilvl w:val="0"/>
          <w:numId w:val="0"/>
        </w:numPr>
        <w:overflowPunct w:val="0"/>
        <w:spacing w:line="600" w:lineRule="exact"/>
        <w:ind w:left="-3" w:leftChars="0" w:firstLine="619" w:firstLineChars="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水分：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水分系指药品中的含水量。水分偏高通常与工艺、包装不当以及储运环境等因素有关。</w:t>
      </w:r>
    </w:p>
    <w:p w14:paraId="17E15B27">
      <w:pPr>
        <w:numPr>
          <w:ilvl w:val="0"/>
          <w:numId w:val="0"/>
        </w:numPr>
        <w:tabs>
          <w:tab w:val="left" w:pos="1302"/>
        </w:tabs>
        <w:spacing w:line="560" w:lineRule="exact"/>
        <w:ind w:left="-3" w:leftChars="0" w:firstLine="619" w:firstLineChars="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pacing w:val="-6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Times New Roman" w:hAnsi="Times New Roman" w:cs="Times New Roman"/>
          <w:b/>
          <w:bCs/>
          <w:sz w:val="32"/>
          <w:szCs w:val="32"/>
          <w:lang w:eastAsia="zh-CN"/>
        </w:rPr>
        <w:t>重量差异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通常指药品检查中，单剂实际重量与平均重量之间的差值比例，主要用于控制片剂、胶囊等固体制剂的均匀性。</w:t>
      </w:r>
    </w:p>
    <w:p w14:paraId="32D669C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130A1C"/>
    <w:rsid w:val="1D13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2026-09-15T03:24:00Z</dcterms:created>
  <dc:creator>傅秀麟</dc:creator>
  <cp:lastModifiedBy>傅秀麟</cp:lastModifiedBy>
  <dcterms:modified xsi:type="dcterms:W3CDTF">2026-09-15T03:25:06Z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D503CD0CC04B4A4CBF170680B803DC51_11</vt:lpwstr>
  </property>
  <property fmtid="{D5CDD505-2E9C-101B-9397-08002B2CF9AE}" pid="4" name="KSOTemplateDocerSaveRecord">
    <vt:lpwstr>eyJoZGlkIjoiZjFlN2YxYzE2N2Y2ZDJkNjkzZjY2MmIwODAwMDg1YzYiLCJ1c2VySWQiOiIxMTMzOTAyODcxIn0=</vt:lpwstr>
  </property>
</Properties>
</file>