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ind w:firstLine="0" w:firstLineChars="0"/>
        <w:jc w:val="center"/>
        <w:rPr>
          <w:rFonts w:hint="eastAsia" w:ascii="方正小标宋简体" w:hAnsi="Times New Roman" w:eastAsia="方正小标宋简体" w:cs="Times New Roman"/>
          <w:b/>
          <w:sz w:val="44"/>
          <w:szCs w:val="44"/>
          <w14:ligatures w14:val="none"/>
        </w:rPr>
      </w:pPr>
      <w:r>
        <w:rPr>
          <w:rFonts w:hint="eastAsia" w:ascii="方正小标宋简体" w:hAnsi="Times New Roman" w:eastAsia="方正小标宋简体" w:cs="Times New Roman"/>
          <w:b/>
          <w:sz w:val="44"/>
          <w:szCs w:val="44"/>
          <w14:ligatures w14:val="none"/>
        </w:rPr>
        <w:t>广西壮族自治区药品监督管理局</w:t>
      </w:r>
    </w:p>
    <w:p>
      <w:pPr>
        <w:spacing w:line="800" w:lineRule="exact"/>
        <w:ind w:firstLine="0" w:firstLineChars="0"/>
        <w:jc w:val="center"/>
        <w:rPr>
          <w:rFonts w:hint="eastAsia" w:ascii="方正小标宋简体" w:hAnsi="Times New Roman" w:eastAsia="方正小标宋简体" w:cs="Times New Roman"/>
          <w:b/>
          <w:sz w:val="44"/>
          <w:szCs w:val="44"/>
          <w14:ligatures w14:val="none"/>
        </w:rPr>
      </w:pPr>
      <w:r>
        <w:rPr>
          <w:rFonts w:hint="eastAsia" w:ascii="方正小标宋简体" w:hAnsi="Times New Roman" w:eastAsia="方正小标宋简体" w:cs="Times New Roman"/>
          <w:b/>
          <w:sz w:val="44"/>
          <w:szCs w:val="44"/>
          <w14:ligatures w14:val="none"/>
        </w:rPr>
        <w:t>少数民族及地方习用药材质量标准</w:t>
      </w:r>
    </w:p>
    <w:p>
      <w:pPr>
        <w:spacing w:line="360" w:lineRule="auto"/>
        <w:ind w:firstLine="0" w:firstLineChars="0"/>
        <w:jc w:val="right"/>
        <w:rPr>
          <w:rFonts w:hint="default" w:ascii="Times New Roman" w:hAnsi="Times New Roman" w:eastAsia="Arial Unicode MS" w:cs="Times New Roman"/>
          <w:b/>
          <w:bCs/>
          <w:kern w:val="0"/>
          <w:sz w:val="30"/>
          <w:szCs w:val="30"/>
          <w:lang w:val="en-US" w:eastAsia="zh-CN"/>
          <w14:ligatures w14:val="none"/>
        </w:rPr>
      </w:pPr>
      <w:r>
        <w:rPr>
          <w:rFonts w:hint="eastAsia" w:ascii="Arial Unicode MS" w:hAnsi="Times New Roman" w:eastAsia="Arial Unicode MS" w:cs="Arial Unicode MS"/>
          <w:sz w:val="28"/>
          <w:szCs w:val="28"/>
          <w:lang w:bidi="ar-SA"/>
          <w14:ligatures w14:val="none"/>
        </w:rPr>
        <w:t>DYB45-202</w:t>
      </w:r>
      <w:r>
        <w:rPr>
          <w:rFonts w:hint="eastAsia" w:ascii="Arial Unicode MS" w:hAnsi="Times New Roman" w:eastAsia="Arial Unicode MS" w:cs="Arial Unicode MS"/>
          <w:sz w:val="28"/>
          <w:szCs w:val="28"/>
          <w:lang w:val="en-US" w:eastAsia="zh-CN" w:bidi="ar-SA"/>
          <w14:ligatures w14:val="none"/>
        </w:rPr>
        <w:t>6-0038</w:t>
      </w:r>
    </w:p>
    <w:p>
      <w:pPr>
        <w:spacing w:line="360" w:lineRule="auto"/>
        <w:ind w:firstLine="0" w:firstLineChars="0"/>
        <w:jc w:val="center"/>
        <w:rPr>
          <w:rFonts w:hint="eastAsia" w:ascii="Times New Roman" w:hAnsi="Times New Roman" w:eastAsia="黑体" w:cs="Times New Roman"/>
          <w:b/>
          <w:bCs/>
          <w:kern w:val="0"/>
          <w:sz w:val="30"/>
          <w:szCs w:val="30"/>
          <w14:ligatures w14:val="none"/>
        </w:rPr>
      </w:pPr>
      <w:r>
        <w:rPr>
          <w:rFonts w:hint="eastAsia" w:ascii="Times New Roman" w:hAnsi="Times New Roman" w:eastAsia="黑体" w:cs="Times New Roman"/>
          <w:b/>
          <w:sz w:val="30"/>
          <w:szCs w:val="3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161290</wp:posOffset>
                </wp:positionV>
                <wp:extent cx="5681980" cy="5715"/>
                <wp:effectExtent l="0" t="0" r="0" b="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1980" cy="57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.55pt;margin-top:12.7pt;height:0.45pt;width:447.4pt;z-index:251659264;mso-width-relative:page;mso-height-relative:page;" filled="f" stroked="t" coordsize="21600,21600" o:gfxdata="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6hO1btUAAAAHAQAADwAAAAAAAAABACAAAAA4AAAAZHJzL2Rvd25yZXYueG1s&#10;UEsBAhQAFAAAAAgAh07iQMzhEKjlAQAAowMAAA4AAAAAAAAAAQAgAAAAOg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15"/>
        <w:ind w:firstLine="0" w:firstLineChars="0"/>
        <w:jc w:val="center"/>
        <w:rPr>
          <w:rFonts w:hint="eastAsia" w:ascii="黑体" w:hAnsi="黑体" w:eastAsia="黑体"/>
          <w:b/>
          <w:bCs/>
          <w:sz w:val="36"/>
          <w:szCs w:val="36"/>
          <w:highlight w:val="none"/>
          <w:lang w:val="en-US" w:eastAsia="zh-CN"/>
        </w:rPr>
      </w:pPr>
    </w:p>
    <w:p>
      <w:pPr>
        <w:pStyle w:val="15"/>
        <w:ind w:firstLine="0" w:firstLineChars="0"/>
        <w:jc w:val="center"/>
        <w:rPr>
          <w:rFonts w:hint="eastAsia" w:ascii="黑体" w:hAnsi="黑体" w:eastAsia="黑体"/>
          <w:b/>
          <w:bCs/>
          <w:sz w:val="36"/>
          <w:szCs w:val="36"/>
          <w:highlight w:val="none"/>
          <w:lang w:eastAsia="zh-CN"/>
        </w:rPr>
      </w:pPr>
      <w:r>
        <w:rPr>
          <w:rFonts w:hint="eastAsia" w:ascii="黑体" w:hAnsi="黑体" w:eastAsia="黑体"/>
          <w:b/>
          <w:bCs/>
          <w:sz w:val="36"/>
          <w:szCs w:val="36"/>
          <w:highlight w:val="none"/>
        </w:rPr>
        <w:t>木麻黄</w:t>
      </w:r>
      <w:r>
        <w:rPr>
          <w:rFonts w:hint="eastAsia" w:ascii="黑体" w:hAnsi="黑体" w:eastAsia="黑体"/>
          <w:b/>
          <w:bCs/>
          <w:sz w:val="36"/>
          <w:szCs w:val="36"/>
          <w:highlight w:val="none"/>
          <w:lang w:eastAsia="zh-CN"/>
        </w:rPr>
        <w:t>（公示稿）</w:t>
      </w:r>
      <w:bookmarkStart w:id="4" w:name="_GoBack"/>
      <w:bookmarkEnd w:id="4"/>
    </w:p>
    <w:p>
      <w:pPr>
        <w:pStyle w:val="14"/>
        <w:ind w:firstLine="0" w:firstLineChars="0"/>
        <w:jc w:val="center"/>
        <w:rPr>
          <w:rFonts w:hint="default" w:ascii="Times New Roman" w:hAnsi="Times New Roman" w:eastAsia="黑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  <w:highlight w:val="none"/>
        </w:rPr>
        <w:t>Mumahuang</w:t>
      </w:r>
    </w:p>
    <w:p>
      <w:pPr>
        <w:ind w:firstLine="0" w:firstLineChars="0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lang w:bidi="ar"/>
        </w:rPr>
        <w:t>CASUARINA</w:t>
      </w:r>
      <w:r>
        <w:rPr>
          <w:rFonts w:hint="eastAsia" w:ascii="Times New Roman" w:hAnsi="Times New Roman"/>
          <w:b/>
          <w:bCs/>
          <w:sz w:val="28"/>
          <w:szCs w:val="28"/>
          <w:lang w:bidi="ar"/>
        </w:rPr>
        <w:t>E</w:t>
      </w:r>
      <w:r>
        <w:rPr>
          <w:rFonts w:ascii="Times New Roman" w:hAnsi="Times New Roman"/>
          <w:b/>
          <w:bCs/>
          <w:sz w:val="28"/>
          <w:szCs w:val="28"/>
          <w:lang w:bidi="ar"/>
        </w:rPr>
        <w:t xml:space="preserve"> CAULIS ET</w:t>
      </w:r>
      <w:r>
        <w:rPr>
          <w:rFonts w:hint="eastAsia" w:ascii="Times New Roman" w:hAnsi="Times New Roman"/>
          <w:b/>
          <w:bCs/>
          <w:sz w:val="28"/>
          <w:szCs w:val="28"/>
          <w:lang w:bidi="ar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FOLIUM</w:t>
      </w:r>
    </w:p>
    <w:p>
      <w:pPr>
        <w:ind w:firstLine="480"/>
        <w:rPr>
          <w:rFonts w:ascii="Times New Roman" w:hAnsi="Times New Roman" w:cs="Times New Roman"/>
          <w:color w:val="auto"/>
          <w:highlight w:val="none"/>
          <w14:ligatures w14:val="none"/>
        </w:rPr>
      </w:pPr>
      <w:r>
        <w:rPr>
          <w:rFonts w:hint="eastAsia" w:ascii="Times New Roman" w:hAnsi="Times New Roman" w:cs="Times New Roman"/>
          <w:color w:val="auto"/>
          <w:highlight w:val="none"/>
          <w14:ligatures w14:val="none"/>
        </w:rPr>
        <w:t>本品为木麻黄科植物木麻黄</w:t>
      </w:r>
      <w:r>
        <w:rPr>
          <w:rFonts w:ascii="Times New Roman" w:hAnsi="Times New Roman" w:cs="Times New Roman"/>
          <w:i/>
          <w:iCs/>
          <w:color w:val="auto"/>
          <w:highlight w:val="none"/>
          <w14:ligatures w14:val="none"/>
        </w:rPr>
        <w:t>Casuarina equisetifolia</w:t>
      </w:r>
      <w:r>
        <w:rPr>
          <w:rFonts w:ascii="Times New Roman" w:hAnsi="Times New Roman" w:cs="Times New Roman"/>
          <w:color w:val="auto"/>
          <w:highlight w:val="none"/>
          <w14:ligatures w14:val="none"/>
        </w:rPr>
        <w:t xml:space="preserve"> Forst</w:t>
      </w:r>
      <w:r>
        <w:rPr>
          <w:rFonts w:hint="eastAsia" w:ascii="Times New Roman" w:hAnsi="Times New Roman" w:cs="Times New Roman"/>
          <w:color w:val="auto"/>
          <w:highlight w:val="none"/>
          <w14:ligatures w14:val="none"/>
        </w:rPr>
        <w:t>.、细枝木麻黄</w:t>
      </w:r>
      <w:r>
        <w:rPr>
          <w:rFonts w:ascii="Times New Roman" w:hAnsi="Times New Roman" w:cs="Times New Roman"/>
          <w:i/>
          <w:iCs/>
          <w:color w:val="auto"/>
          <w:highlight w:val="none"/>
          <w14:ligatures w14:val="none"/>
        </w:rPr>
        <w:t>Casuarina cunninghamiana</w:t>
      </w:r>
      <w:r>
        <w:rPr>
          <w:rFonts w:hint="eastAsia" w:ascii="Times New Roman" w:hAnsi="Times New Roman" w:cs="Times New Roman"/>
          <w:color w:val="auto"/>
          <w:highlight w:val="none"/>
          <w14:ligatures w14:val="none"/>
        </w:rPr>
        <w:t xml:space="preserve"> Miq.或粗枝木麻黄</w:t>
      </w:r>
      <w:r>
        <w:rPr>
          <w:rFonts w:ascii="Times New Roman" w:hAnsi="Times New Roman" w:cs="Times New Roman"/>
          <w:i/>
          <w:iCs/>
          <w:color w:val="auto"/>
          <w:highlight w:val="none"/>
          <w14:ligatures w14:val="none"/>
        </w:rPr>
        <w:t>Casuarina glauca</w:t>
      </w:r>
      <w:r>
        <w:rPr>
          <w:rFonts w:ascii="Times New Roman" w:hAnsi="Times New Roman" w:cs="Times New Roman"/>
          <w:color w:val="auto"/>
          <w:highlight w:val="none"/>
          <w14:ligatures w14:val="none"/>
        </w:rPr>
        <w:t xml:space="preserve"> Sieb. ex Spreng</w:t>
      </w:r>
      <w:r>
        <w:rPr>
          <w:rFonts w:hint="eastAsia" w:ascii="Times New Roman" w:hAnsi="Times New Roman" w:cs="Times New Roman"/>
          <w:color w:val="auto"/>
          <w:highlight w:val="none"/>
          <w14:ligatures w14:val="none"/>
        </w:rPr>
        <w:t>.的干燥枝叶。</w:t>
      </w:r>
      <w:r>
        <w:rPr>
          <w:rFonts w:ascii="Times New Roman" w:hAnsi="Times New Roman" w:cs="Times New Roman"/>
          <w:color w:val="auto"/>
          <w:highlight w:val="none"/>
          <w14:ligatures w14:val="none"/>
        </w:rPr>
        <w:t>全年</w:t>
      </w:r>
      <w:r>
        <w:rPr>
          <w:rFonts w:hint="eastAsia" w:ascii="Times New Roman" w:hAnsi="Times New Roman" w:cs="Times New Roman"/>
          <w:color w:val="auto"/>
          <w:highlight w:val="none"/>
          <w14:ligatures w14:val="none"/>
        </w:rPr>
        <w:t>可采</w:t>
      </w:r>
      <w:r>
        <w:rPr>
          <w:rFonts w:ascii="Times New Roman" w:hAnsi="Times New Roman" w:cs="Times New Roman"/>
          <w:color w:val="auto"/>
          <w:highlight w:val="none"/>
          <w14:ligatures w14:val="none"/>
        </w:rPr>
        <w:t>，</w:t>
      </w:r>
      <w:r>
        <w:rPr>
          <w:rFonts w:hint="eastAsia" w:ascii="Times New Roman" w:hAnsi="Times New Roman" w:cs="Times New Roman"/>
          <w:color w:val="auto"/>
          <w:highlight w:val="none"/>
          <w14:ligatures w14:val="none"/>
        </w:rPr>
        <w:t>除去杂质</w:t>
      </w:r>
      <w:r>
        <w:rPr>
          <w:rFonts w:ascii="Times New Roman" w:hAnsi="Times New Roman" w:cs="Times New Roman"/>
          <w:color w:val="auto"/>
          <w:highlight w:val="none"/>
          <w14:ligatures w14:val="none"/>
        </w:rPr>
        <w:t>，干燥。</w:t>
      </w:r>
    </w:p>
    <w:p>
      <w:pPr>
        <w:spacing w:line="360" w:lineRule="auto"/>
        <w:ind w:firstLine="480" w:firstLineChars="200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 w:eastAsia="黑体" w:cs="Times New Roman"/>
          <w:color w:val="000000"/>
          <w:szCs w:val="22"/>
          <w:highlight w:val="none"/>
          <w14:ligatures w14:val="none"/>
        </w:rPr>
        <w:t>【性状】</w:t>
      </w:r>
      <w:bookmarkStart w:id="0" w:name="OLE_LINK13"/>
      <w:bookmarkStart w:id="1" w:name="OLE_LINK14"/>
      <w:r>
        <w:rPr>
          <w:rFonts w:hint="eastAsia" w:ascii="Times New Roman" w:hAnsi="Times New Roman" w:eastAsia="黑体"/>
          <w:strike w:val="0"/>
          <w:color w:val="000000"/>
          <w:sz w:val="24"/>
          <w:szCs w:val="24"/>
        </w:rPr>
        <w:t xml:space="preserve">木麻黄  </w:t>
      </w:r>
      <w:r>
        <w:rPr>
          <w:rFonts w:hint="eastAsia" w:ascii="Times New Roman" w:hAnsi="Times New Roman"/>
          <w:kern w:val="0"/>
          <w:sz w:val="24"/>
          <w:szCs w:val="24"/>
        </w:rPr>
        <w:t>本品枝呈圆柱形，红褐色或褐色，节密集，质韧。</w:t>
      </w:r>
      <w:r>
        <w:rPr>
          <w:rFonts w:hint="eastAsia" w:ascii="Times New Roman" w:hAnsi="Times New Roman"/>
          <w:kern w:val="0"/>
          <w:sz w:val="24"/>
          <w:szCs w:val="24"/>
          <w:lang w:val="en-US" w:eastAsia="zh-CN"/>
        </w:rPr>
        <w:t>小</w:t>
      </w:r>
      <w:r>
        <w:rPr>
          <w:rFonts w:hint="eastAsia" w:ascii="Times New Roman" w:hAnsi="Times New Roman"/>
          <w:kern w:val="0"/>
          <w:sz w:val="24"/>
          <w:szCs w:val="24"/>
        </w:rPr>
        <w:t>枝纤细，质略柔软，灰绿色或灰褐色，长9～27cm，直径0.5～0.9mm，具数条沟槽及棱，初时被短柔毛，渐变无毛或仅在沟槽内略有毛，节明显，节间长2～9mm，节脆易抽离。鳞片状叶每轮通常为7枚，</w:t>
      </w:r>
      <w:r>
        <w:rPr>
          <w:rFonts w:hint="eastAsia" w:ascii="Times New Roman" w:hAnsi="Times New Roman"/>
          <w:kern w:val="0"/>
          <w:sz w:val="24"/>
          <w:szCs w:val="24"/>
          <w:lang w:val="en-US" w:eastAsia="zh-CN"/>
        </w:rPr>
        <w:t>偶见</w:t>
      </w:r>
      <w:r>
        <w:rPr>
          <w:rFonts w:hint="eastAsia" w:ascii="Times New Roman" w:hAnsi="Times New Roman"/>
          <w:kern w:val="0"/>
          <w:sz w:val="24"/>
          <w:szCs w:val="24"/>
        </w:rPr>
        <w:t>6或8枚，披针形或三角形，长约1mm，紧贴小枝。气微，味淡，微涩</w:t>
      </w:r>
      <w:r>
        <w:rPr>
          <w:rFonts w:ascii="Times New Roman" w:hAnsi="Times New Roman"/>
          <w:kern w:val="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Times New Roman" w:hAnsi="Times New Roman"/>
          <w:strike w:val="0"/>
          <w:kern w:val="0"/>
          <w:sz w:val="24"/>
          <w:szCs w:val="24"/>
        </w:rPr>
      </w:pPr>
      <w:r>
        <w:rPr>
          <w:rFonts w:hint="eastAsia" w:ascii="Times New Roman" w:hAnsi="Times New Roman" w:eastAsia="黑体"/>
          <w:strike w:val="0"/>
          <w:color w:val="000000"/>
          <w:sz w:val="24"/>
          <w:szCs w:val="24"/>
        </w:rPr>
        <w:t xml:space="preserve">细枝木麻黄  </w:t>
      </w:r>
      <w:r>
        <w:rPr>
          <w:rFonts w:hint="eastAsia" w:ascii="Times New Roman" w:hAnsi="Times New Roman"/>
          <w:strike w:val="0"/>
          <w:kern w:val="0"/>
          <w:sz w:val="24"/>
          <w:szCs w:val="24"/>
        </w:rPr>
        <w:t>小枝长可达38cm，节间长约5mm，节韧不易抽离。鳞片状叶每轮</w:t>
      </w:r>
      <w:r>
        <w:rPr>
          <w:rFonts w:hint="eastAsia" w:ascii="Times New Roman" w:hAnsi="Times New Roman"/>
          <w:strike w:val="0"/>
          <w:kern w:val="0"/>
          <w:sz w:val="24"/>
          <w:szCs w:val="24"/>
          <w:lang w:val="en-US" w:eastAsia="zh-CN"/>
        </w:rPr>
        <w:t>多为</w:t>
      </w:r>
      <w:r>
        <w:rPr>
          <w:rFonts w:hint="eastAsia" w:ascii="Times New Roman" w:hAnsi="Times New Roman"/>
          <w:strike w:val="0"/>
          <w:kern w:val="0"/>
          <w:sz w:val="24"/>
          <w:szCs w:val="24"/>
        </w:rPr>
        <w:t>8～10枚。</w:t>
      </w:r>
    </w:p>
    <w:p>
      <w:pPr>
        <w:tabs>
          <w:tab w:val="left" w:pos="312"/>
        </w:tabs>
        <w:ind w:firstLine="480"/>
        <w:jc w:val="both"/>
        <w:rPr>
          <w:rFonts w:ascii="Times New Roman" w:hAnsi="Times New Roman" w:cs="Times New Roman"/>
          <w:color w:val="auto"/>
          <w:highlight w:val="none"/>
          <w14:ligatures w14:val="none"/>
        </w:rPr>
      </w:pPr>
      <w:r>
        <w:rPr>
          <w:rFonts w:hint="eastAsia" w:ascii="Times New Roman" w:hAnsi="Times New Roman" w:eastAsia="黑体"/>
          <w:strike w:val="0"/>
          <w:color w:val="000000"/>
          <w:sz w:val="24"/>
          <w:szCs w:val="24"/>
        </w:rPr>
        <w:t xml:space="preserve">粗枝木麻黄  </w:t>
      </w:r>
      <w:r>
        <w:rPr>
          <w:rFonts w:hint="eastAsia" w:ascii="Times New Roman" w:hAnsi="Times New Roman"/>
          <w:strike w:val="0"/>
          <w:kern w:val="0"/>
          <w:sz w:val="24"/>
          <w:szCs w:val="24"/>
        </w:rPr>
        <w:t>小枝长可达30～100cm，节间长10～18mm。鳞片状叶每轮</w:t>
      </w:r>
      <w:r>
        <w:rPr>
          <w:rFonts w:hint="eastAsia" w:ascii="Times New Roman" w:hAnsi="Times New Roman"/>
          <w:strike w:val="0"/>
          <w:kern w:val="0"/>
          <w:sz w:val="24"/>
          <w:szCs w:val="24"/>
          <w:lang w:val="en-US" w:eastAsia="zh-CN"/>
        </w:rPr>
        <w:t>多为</w:t>
      </w:r>
      <w:r>
        <w:rPr>
          <w:rFonts w:hint="eastAsia" w:ascii="Times New Roman" w:hAnsi="Times New Roman"/>
          <w:strike w:val="0"/>
          <w:kern w:val="0"/>
          <w:sz w:val="24"/>
          <w:szCs w:val="24"/>
        </w:rPr>
        <w:t>12～16枚</w:t>
      </w:r>
      <w:r>
        <w:rPr>
          <w:rFonts w:hint="eastAsia" w:ascii="Times New Roman" w:hAnsi="Times New Roman" w:cs="Times New Roman"/>
          <w:color w:val="auto"/>
          <w:highlight w:val="none"/>
          <w14:ligatures w14:val="none"/>
        </w:rPr>
        <w:t>。</w:t>
      </w:r>
      <w:bookmarkEnd w:id="0"/>
      <w:bookmarkEnd w:id="1"/>
    </w:p>
    <w:p>
      <w:pPr>
        <w:numPr>
          <w:ilvl w:val="255"/>
          <w:numId w:val="0"/>
        </w:num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【鉴别】</w:t>
      </w:r>
      <w:r>
        <w:rPr>
          <w:rFonts w:ascii="Times New Roman" w:hAnsi="Times New Roman"/>
          <w:sz w:val="24"/>
          <w:szCs w:val="24"/>
        </w:rPr>
        <w:t>（1）本品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小</w:t>
      </w:r>
      <w:r>
        <w:rPr>
          <w:rFonts w:ascii="Times New Roman" w:hAnsi="Times New Roman"/>
          <w:sz w:val="24"/>
          <w:szCs w:val="24"/>
        </w:rPr>
        <w:t>枝横切面：</w:t>
      </w:r>
      <w:r>
        <w:rPr>
          <w:rFonts w:hint="eastAsia" w:ascii="Times New Roman" w:hAnsi="Times New Roman" w:eastAsia="黑体"/>
          <w:strike w:val="0"/>
          <w:color w:val="000000"/>
          <w:sz w:val="24"/>
          <w:szCs w:val="24"/>
        </w:rPr>
        <w:t>木麻黄</w:t>
      </w:r>
      <w:r>
        <w:rPr>
          <w:rFonts w:ascii="Times New Roman" w:hAnsi="Times New Roman"/>
          <w:strike w:val="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多呈7瓣星形，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偶见</w:t>
      </w:r>
      <w:r>
        <w:rPr>
          <w:rFonts w:ascii="Times New Roman" w:hAnsi="Times New Roman"/>
          <w:sz w:val="24"/>
          <w:szCs w:val="24"/>
        </w:rPr>
        <w:t>6或8瓣，每个瓣片大小均匀，瓣间具沟槽。瓣片的背脊最外层为角质层，可见较多草酸钙结晶；表皮细胞类方形，下方可见下皮纤维；皮层为1～3列径向延长的细胞形成栅状组织，下方可见一个小型外韧型维管束。沟槽侧壁可见气孔，底部可见非腺毛。中柱鞘纤维断续排列成环，维管束外韧型。髓部较小，细胞多角形或类圆形。薄壁细胞散有草酸钙簇晶和方晶。</w:t>
      </w:r>
    </w:p>
    <w:p>
      <w:pPr>
        <w:numPr>
          <w:ilvl w:val="255"/>
          <w:numId w:val="0"/>
        </w:numPr>
        <w:spacing w:line="360" w:lineRule="auto"/>
        <w:ind w:firstLine="480" w:firstLineChars="200"/>
        <w:rPr>
          <w:rFonts w:ascii="Times New Roman" w:hAnsi="Times New Roman"/>
          <w:strike w:val="0"/>
          <w:sz w:val="24"/>
          <w:szCs w:val="24"/>
        </w:rPr>
      </w:pPr>
      <w:r>
        <w:rPr>
          <w:rFonts w:hint="eastAsia" w:ascii="Times New Roman" w:hAnsi="Times New Roman" w:eastAsia="黑体"/>
          <w:strike w:val="0"/>
          <w:color w:val="000000"/>
          <w:sz w:val="24"/>
          <w:szCs w:val="24"/>
        </w:rPr>
        <w:t>细枝木麻黄</w:t>
      </w:r>
      <w:r>
        <w:rPr>
          <w:rFonts w:ascii="Times New Roman" w:hAnsi="Times New Roman"/>
          <w:strike w:val="0"/>
          <w:sz w:val="24"/>
          <w:szCs w:val="24"/>
        </w:rPr>
        <w:t xml:space="preserve">  </w:t>
      </w:r>
      <w:r>
        <w:rPr>
          <w:rFonts w:hint="eastAsia" w:ascii="Times New Roman" w:hAnsi="Times New Roman"/>
          <w:strike w:val="0"/>
          <w:sz w:val="24"/>
          <w:szCs w:val="24"/>
          <w:lang w:val="en-US" w:eastAsia="zh-CN"/>
        </w:rPr>
        <w:t>多</w:t>
      </w:r>
      <w:r>
        <w:rPr>
          <w:rFonts w:ascii="Times New Roman" w:hAnsi="Times New Roman"/>
          <w:strike w:val="0"/>
          <w:sz w:val="24"/>
          <w:szCs w:val="24"/>
        </w:rPr>
        <w:t>呈8～10瓣星形。</w:t>
      </w:r>
    </w:p>
    <w:p>
      <w:pPr>
        <w:numPr>
          <w:ilvl w:val="255"/>
          <w:numId w:val="0"/>
        </w:numPr>
        <w:spacing w:line="360" w:lineRule="auto"/>
        <w:ind w:firstLine="480" w:firstLineChars="200"/>
        <w:rPr>
          <w:rFonts w:ascii="Times New Roman" w:hAnsi="Times New Roman"/>
          <w:strike w:val="0"/>
          <w:sz w:val="24"/>
          <w:szCs w:val="24"/>
        </w:rPr>
      </w:pPr>
      <w:r>
        <w:rPr>
          <w:rFonts w:hint="eastAsia" w:ascii="Times New Roman" w:hAnsi="Times New Roman" w:eastAsia="黑体"/>
          <w:strike w:val="0"/>
          <w:color w:val="000000"/>
          <w:sz w:val="24"/>
          <w:szCs w:val="24"/>
        </w:rPr>
        <w:t>粗枝木麻黄</w:t>
      </w:r>
      <w:r>
        <w:rPr>
          <w:rFonts w:ascii="Times New Roman" w:hAnsi="Times New Roman"/>
          <w:strike w:val="0"/>
          <w:sz w:val="24"/>
          <w:szCs w:val="24"/>
        </w:rPr>
        <w:t xml:space="preserve">  </w:t>
      </w:r>
      <w:r>
        <w:rPr>
          <w:rFonts w:hint="eastAsia" w:ascii="Times New Roman" w:hAnsi="Times New Roman"/>
          <w:strike w:val="0"/>
          <w:sz w:val="24"/>
          <w:szCs w:val="24"/>
          <w:lang w:val="en-US" w:eastAsia="zh-CN"/>
        </w:rPr>
        <w:t>多</w:t>
      </w:r>
      <w:r>
        <w:rPr>
          <w:rFonts w:ascii="Times New Roman" w:hAnsi="Times New Roman"/>
          <w:strike w:val="0"/>
          <w:sz w:val="24"/>
          <w:szCs w:val="24"/>
        </w:rPr>
        <w:t>呈1</w:t>
      </w:r>
      <w:r>
        <w:rPr>
          <w:rFonts w:hint="eastAsia" w:ascii="Times New Roman" w:hAnsi="Times New Roman"/>
          <w:strike w:val="0"/>
          <w:sz w:val="24"/>
          <w:szCs w:val="24"/>
        </w:rPr>
        <w:t>2</w:t>
      </w:r>
      <w:r>
        <w:rPr>
          <w:rFonts w:ascii="Times New Roman" w:hAnsi="Times New Roman"/>
          <w:strike w:val="0"/>
          <w:sz w:val="24"/>
          <w:szCs w:val="24"/>
        </w:rPr>
        <w:t>～16瓣星形。</w:t>
      </w:r>
    </w:p>
    <w:p>
      <w:pPr>
        <w:numPr>
          <w:ilvl w:val="255"/>
          <w:numId w:val="0"/>
        </w:num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粉末灰绿色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或</w:t>
      </w:r>
      <w:r>
        <w:rPr>
          <w:rFonts w:ascii="Times New Roman" w:hAnsi="Times New Roman"/>
          <w:sz w:val="24"/>
          <w:szCs w:val="24"/>
        </w:rPr>
        <w:t>黄绿色至浅棕黄色。表皮细胞类长方形或多角形，可见较多草酸钙结晶。气孔平轴式，保卫细胞侧面观似电话听筒状。非腺毛由1～</w:t>
      </w:r>
      <w:r>
        <w:rPr>
          <w:rFonts w:hint="eastAsia"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个细胞组成，多弯曲，有的呈分支状，壁薄，胞腔大。纤维多成束，有的薄壁细胞含草酸钙方晶，形成晶纤维。草酸钙方晶和簇晶散在或存在于薄壁细胞中，直径5～20μm。石细胞单个散在或数个相聚成群，直径8～50μm，细胞壁较厚，孔沟及纹孔明显。导管多为螺纹导管或网纹导管，直径3～28μm。可见棕色块散在。</w:t>
      </w:r>
    </w:p>
    <w:p>
      <w:pPr>
        <w:numPr>
          <w:ilvl w:val="255"/>
          <w:numId w:val="0"/>
        </w:numPr>
        <w:spacing w:line="360" w:lineRule="auto"/>
        <w:ind w:firstLine="480" w:firstLineChars="200"/>
        <w:rPr>
          <w:rFonts w:ascii="Times New Roman" w:hAnsi="Times New Roman" w:eastAsia="黑体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（2）取</w:t>
      </w:r>
      <w:r>
        <w:rPr>
          <w:rFonts w:hint="eastAsia" w:ascii="Times New Roman" w:hAnsi="Times New Roman"/>
          <w:sz w:val="24"/>
          <w:szCs w:val="24"/>
        </w:rPr>
        <w:t>本品</w:t>
      </w:r>
      <w:r>
        <w:rPr>
          <w:rFonts w:ascii="Times New Roman" w:hAnsi="Times New Roman"/>
          <w:sz w:val="24"/>
          <w:szCs w:val="24"/>
        </w:rPr>
        <w:t>粉末</w:t>
      </w:r>
      <w:bookmarkStart w:id="2" w:name="OLE_LINK18"/>
      <w:r>
        <w:rPr>
          <w:rFonts w:ascii="Times New Roman" w:hAnsi="Times New Roman"/>
          <w:sz w:val="24"/>
          <w:szCs w:val="24"/>
        </w:rPr>
        <w:t>1</w:t>
      </w:r>
      <w:bookmarkEnd w:id="2"/>
      <w:r>
        <w:rPr>
          <w:rFonts w:hint="eastAsia" w:ascii="Times New Roman" w:hAnsi="Times New Roman"/>
          <w:sz w:val="24"/>
          <w:szCs w:val="24"/>
        </w:rPr>
        <w:t xml:space="preserve"> g</w:t>
      </w:r>
      <w:r>
        <w:rPr>
          <w:rFonts w:ascii="Times New Roman" w:hAnsi="Times New Roman"/>
          <w:sz w:val="24"/>
          <w:szCs w:val="24"/>
        </w:rPr>
        <w:t>，加甲醇10 m</w:t>
      </w:r>
      <w:r>
        <w:rPr>
          <w:rFonts w:hint="eastAsia"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，超声处理20</w:t>
      </w:r>
      <w:r>
        <w:rPr>
          <w:rFonts w:hint="eastAsia" w:ascii="Times New Roman" w:hAnsi="Times New Roman"/>
          <w:sz w:val="24"/>
          <w:szCs w:val="24"/>
        </w:rPr>
        <w:t>分钟</w:t>
      </w:r>
      <w:r>
        <w:rPr>
          <w:rFonts w:ascii="Times New Roman" w:hAnsi="Times New Roman"/>
          <w:sz w:val="24"/>
          <w:szCs w:val="24"/>
        </w:rPr>
        <w:t>，滤过，滤液蒸干，残渣加甲醇2 m</w:t>
      </w:r>
      <w:r>
        <w:rPr>
          <w:rFonts w:hint="eastAsia"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使溶解，作为供试品溶液。取阿福豆苷对照品，加甲醇制成每1 m</w:t>
      </w:r>
      <w:r>
        <w:rPr>
          <w:rFonts w:hint="eastAsia"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含1 mg的溶液，作为对照品溶液。照薄层色谱法</w:t>
      </w:r>
      <w:r>
        <w:rPr>
          <w:rFonts w:hint="eastAsia" w:ascii="Times New Roman" w:hAnsi="Times New Roman"/>
          <w:sz w:val="24"/>
          <w:szCs w:val="24"/>
        </w:rPr>
        <w:t>（《中国药典》2025年版</w:t>
      </w:r>
      <w:r>
        <w:rPr>
          <w:rFonts w:ascii="Times New Roman" w:hAnsi="Times New Roman"/>
          <w:sz w:val="24"/>
          <w:szCs w:val="24"/>
        </w:rPr>
        <w:t>通则0502</w:t>
      </w:r>
      <w:r>
        <w:rPr>
          <w:rFonts w:hint="eastAsia"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  <w:szCs w:val="24"/>
        </w:rPr>
        <w:t>试验，吸取</w:t>
      </w:r>
      <w:r>
        <w:rPr>
          <w:rFonts w:hint="eastAsia" w:ascii="Times New Roman" w:hAnsi="Times New Roman"/>
          <w:sz w:val="24"/>
          <w:szCs w:val="24"/>
        </w:rPr>
        <w:t>上述两种溶液各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μ</w:t>
      </w:r>
      <w:r>
        <w:rPr>
          <w:rFonts w:hint="eastAsia"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，分别点于同一硅胶</w:t>
      </w:r>
      <w:r>
        <w:rPr>
          <w:rFonts w:ascii="Times New Roman" w:hAnsi="Times New Roman"/>
          <w:sz w:val="24"/>
          <w:szCs w:val="24"/>
        </w:rPr>
        <w:t xml:space="preserve"> GF</w:t>
      </w:r>
      <w:r>
        <w:rPr>
          <w:rFonts w:ascii="Times New Roman" w:hAnsi="Times New Roman"/>
          <w:sz w:val="24"/>
          <w:szCs w:val="24"/>
          <w:vertAlign w:val="subscript"/>
        </w:rPr>
        <w:t>254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薄层板上，</w:t>
      </w:r>
      <w:r>
        <w:rPr>
          <w:rFonts w:ascii="Times New Roman" w:hAnsi="Times New Roman"/>
          <w:sz w:val="24"/>
          <w:szCs w:val="24"/>
        </w:rPr>
        <w:t>以乙酸乙酯-丙酮-冰醋酸（</w:t>
      </w:r>
      <w:r>
        <w:rPr>
          <w:rFonts w:hint="eastAsia" w:ascii="Times New Roman" w:hAnsi="Times New Roman"/>
          <w:sz w:val="24"/>
          <w:szCs w:val="24"/>
        </w:rPr>
        <w:t>4∶1∶0.05</w:t>
      </w:r>
      <w:r>
        <w:rPr>
          <w:rFonts w:ascii="Times New Roman" w:hAnsi="Times New Roman"/>
          <w:sz w:val="24"/>
          <w:szCs w:val="24"/>
        </w:rPr>
        <w:t>）为展开剂，展开，</w:t>
      </w:r>
      <w:r>
        <w:rPr>
          <w:rFonts w:ascii="Times New Roman" w:hAnsi="Times New Roman"/>
          <w:color w:val="000000"/>
          <w:sz w:val="24"/>
          <w:szCs w:val="24"/>
        </w:rPr>
        <w:t>取出，晾干，喷以10 %硫酸乙醇溶液，在105 °C加热至斑点显色清晰，置紫外光灯(365 nm)下检视。供试品色谱中，在与对照品色谱相应的位置上，显相同颜色的荧光斑点。</w:t>
      </w:r>
    </w:p>
    <w:p>
      <w:pPr>
        <w:spacing w:line="360" w:lineRule="auto"/>
        <w:ind w:firstLine="480" w:firstLineChars="200"/>
        <w:rPr>
          <w:rFonts w:ascii="Times New Roman" w:hAnsi="Times New Roman" w:eastAsia="黑体"/>
          <w:color w:val="000000"/>
          <w:sz w:val="24"/>
          <w:szCs w:val="24"/>
        </w:rPr>
      </w:pPr>
      <w:r>
        <w:rPr>
          <w:rFonts w:ascii="Times New Roman" w:hAnsi="Times New Roman" w:eastAsia="黑体"/>
          <w:color w:val="000000"/>
          <w:sz w:val="24"/>
          <w:szCs w:val="24"/>
        </w:rPr>
        <w:t>【检查】水分</w:t>
      </w:r>
      <w:r>
        <w:rPr>
          <w:rFonts w:ascii="Times New Roman" w:hAnsi="Times New Roman"/>
          <w:color w:val="000000"/>
          <w:sz w:val="24"/>
          <w:szCs w:val="24"/>
        </w:rPr>
        <w:t xml:space="preserve">  不得过</w:t>
      </w:r>
      <w:r>
        <w:rPr>
          <w:rFonts w:hint="eastAsia"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.0 %</w:t>
      </w:r>
      <w:r>
        <w:rPr>
          <w:rFonts w:ascii="Times New Roman" w:hAnsi="Times New Roman"/>
          <w:color w:val="000000"/>
          <w:sz w:val="24"/>
        </w:rPr>
        <w:t>（</w:t>
      </w:r>
      <w:r>
        <w:rPr>
          <w:rFonts w:hint="eastAsia" w:ascii="Times New Roman" w:hAnsi="Times New Roman"/>
          <w:color w:val="000000"/>
          <w:sz w:val="24"/>
        </w:rPr>
        <w:t>《</w:t>
      </w:r>
      <w:r>
        <w:rPr>
          <w:rFonts w:ascii="Times New Roman" w:hAnsi="Times New Roman"/>
          <w:color w:val="000000"/>
          <w:sz w:val="24"/>
        </w:rPr>
        <w:t>中国药典</w:t>
      </w:r>
      <w:r>
        <w:rPr>
          <w:rFonts w:hint="eastAsia" w:ascii="Times New Roman" w:hAnsi="Times New Roman"/>
          <w:color w:val="000000"/>
          <w:sz w:val="24"/>
        </w:rPr>
        <w:t>》</w:t>
      </w:r>
      <w:r>
        <w:rPr>
          <w:rFonts w:ascii="Times New Roman" w:hAnsi="Times New Roman"/>
          <w:color w:val="000000"/>
          <w:sz w:val="24"/>
        </w:rPr>
        <w:t>20</w:t>
      </w:r>
      <w:r>
        <w:rPr>
          <w:rFonts w:hint="eastAsia" w:ascii="Times New Roman" w:hAnsi="Times New Roman"/>
          <w:color w:val="000000"/>
          <w:sz w:val="24"/>
        </w:rPr>
        <w:t>25</w:t>
      </w:r>
      <w:r>
        <w:rPr>
          <w:rFonts w:ascii="Times New Roman" w:hAnsi="Times New Roman"/>
          <w:color w:val="000000"/>
          <w:sz w:val="24"/>
        </w:rPr>
        <w:t>年版通则0832第二法）</w:t>
      </w:r>
      <w:r>
        <w:rPr>
          <w:rFonts w:ascii="Times New Roman"/>
          <w:color w:val="000000"/>
          <w:sz w:val="24"/>
        </w:rPr>
        <w:t>。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eastAsia="黑体"/>
          <w:color w:val="000000"/>
          <w:sz w:val="24"/>
          <w:szCs w:val="24"/>
        </w:rPr>
        <w:t>总灰分</w:t>
      </w:r>
      <w:r>
        <w:rPr>
          <w:rFonts w:ascii="Times New Roman" w:hAnsi="Times New Roman"/>
          <w:color w:val="000000"/>
          <w:sz w:val="24"/>
          <w:szCs w:val="24"/>
        </w:rPr>
        <w:t xml:space="preserve">  不得过</w:t>
      </w:r>
      <w:r>
        <w:rPr>
          <w:rFonts w:hint="eastAsia"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 xml:space="preserve">.0 </w:t>
      </w:r>
      <w:r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color w:val="000000"/>
          <w:sz w:val="24"/>
          <w:szCs w:val="24"/>
        </w:rPr>
        <w:t>（</w:t>
      </w:r>
      <w:bookmarkStart w:id="3" w:name="OLE_LINK120"/>
      <w:r>
        <w:rPr>
          <w:rFonts w:hint="eastAsia" w:ascii="Times New Roman" w:hAnsi="Times New Roman"/>
          <w:color w:val="000000"/>
          <w:sz w:val="24"/>
        </w:rPr>
        <w:t>《</w:t>
      </w:r>
      <w:r>
        <w:rPr>
          <w:rFonts w:ascii="Times New Roman" w:hAnsi="Times New Roman"/>
          <w:color w:val="000000"/>
          <w:sz w:val="24"/>
        </w:rPr>
        <w:t>中国药典</w:t>
      </w:r>
      <w:r>
        <w:rPr>
          <w:rFonts w:hint="eastAsia" w:ascii="Times New Roman" w:hAnsi="Times New Roman"/>
          <w:color w:val="000000"/>
          <w:sz w:val="24"/>
        </w:rPr>
        <w:t>》</w:t>
      </w:r>
      <w:r>
        <w:rPr>
          <w:rFonts w:ascii="Times New Roman" w:hAnsi="Times New Roman"/>
          <w:color w:val="000000"/>
          <w:sz w:val="24"/>
        </w:rPr>
        <w:t>20</w:t>
      </w:r>
      <w:r>
        <w:rPr>
          <w:rFonts w:hint="eastAsia" w:ascii="Times New Roman" w:hAnsi="Times New Roman"/>
          <w:color w:val="000000"/>
          <w:sz w:val="24"/>
        </w:rPr>
        <w:t>25</w:t>
      </w:r>
      <w:r>
        <w:rPr>
          <w:rFonts w:ascii="Times New Roman" w:hAnsi="Times New Roman"/>
          <w:color w:val="000000"/>
          <w:sz w:val="24"/>
        </w:rPr>
        <w:t>年版</w:t>
      </w:r>
      <w:r>
        <w:rPr>
          <w:rFonts w:ascii="Times New Roman" w:hAnsi="Times New Roman"/>
          <w:color w:val="000000"/>
          <w:sz w:val="24"/>
          <w:szCs w:val="24"/>
        </w:rPr>
        <w:t>通则230</w:t>
      </w:r>
      <w:bookmarkEnd w:id="3"/>
      <w:r>
        <w:rPr>
          <w:rFonts w:ascii="Times New Roman" w:hAnsi="Times New Roman"/>
          <w:color w:val="000000"/>
          <w:sz w:val="24"/>
          <w:szCs w:val="24"/>
        </w:rPr>
        <w:t>2）。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黑体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/>
          <w:color w:val="000000"/>
          <w:sz w:val="24"/>
          <w:szCs w:val="24"/>
          <w:lang w:val="en-US" w:eastAsia="zh-CN"/>
        </w:rPr>
        <w:t>酸不溶性</w:t>
      </w:r>
      <w:r>
        <w:rPr>
          <w:rFonts w:ascii="Times New Roman" w:hAnsi="Times New Roman" w:eastAsia="黑体"/>
          <w:color w:val="000000"/>
          <w:sz w:val="24"/>
          <w:szCs w:val="24"/>
        </w:rPr>
        <w:t>灰分</w:t>
      </w:r>
      <w:r>
        <w:rPr>
          <w:rFonts w:hint="eastAsia" w:ascii="Times New Roman" w:hAnsi="Times New Roman" w:eastAsia="黑体"/>
          <w:color w:val="000000"/>
          <w:sz w:val="24"/>
          <w:szCs w:val="24"/>
          <w:lang w:val="en-US" w:eastAsia="zh-CN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不得过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.0 </w:t>
      </w:r>
      <w:r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color w:val="000000"/>
          <w:sz w:val="24"/>
          <w:szCs w:val="24"/>
        </w:rPr>
        <w:t>（</w:t>
      </w:r>
      <w:r>
        <w:rPr>
          <w:rFonts w:hint="eastAsia" w:ascii="Times New Roman" w:hAnsi="Times New Roman"/>
          <w:color w:val="000000"/>
          <w:sz w:val="24"/>
        </w:rPr>
        <w:t>《</w:t>
      </w:r>
      <w:r>
        <w:rPr>
          <w:rFonts w:ascii="Times New Roman" w:hAnsi="Times New Roman"/>
          <w:color w:val="000000"/>
          <w:sz w:val="24"/>
        </w:rPr>
        <w:t>中国药典</w:t>
      </w:r>
      <w:r>
        <w:rPr>
          <w:rFonts w:hint="eastAsia" w:ascii="Times New Roman" w:hAnsi="Times New Roman"/>
          <w:color w:val="000000"/>
          <w:sz w:val="24"/>
        </w:rPr>
        <w:t>》</w:t>
      </w:r>
      <w:r>
        <w:rPr>
          <w:rFonts w:ascii="Times New Roman" w:hAnsi="Times New Roman"/>
          <w:color w:val="000000"/>
          <w:sz w:val="24"/>
        </w:rPr>
        <w:t>20</w:t>
      </w:r>
      <w:r>
        <w:rPr>
          <w:rFonts w:hint="eastAsia" w:ascii="Times New Roman" w:hAnsi="Times New Roman"/>
          <w:color w:val="000000"/>
          <w:sz w:val="24"/>
        </w:rPr>
        <w:t>25</w:t>
      </w:r>
      <w:r>
        <w:rPr>
          <w:rFonts w:ascii="Times New Roman" w:hAnsi="Times New Roman"/>
          <w:color w:val="000000"/>
          <w:sz w:val="24"/>
        </w:rPr>
        <w:t>年版</w:t>
      </w:r>
      <w:r>
        <w:rPr>
          <w:rFonts w:ascii="Times New Roman" w:hAnsi="Times New Roman"/>
          <w:color w:val="000000"/>
          <w:sz w:val="24"/>
          <w:szCs w:val="24"/>
        </w:rPr>
        <w:t>通则2302）。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eastAsia="黑体"/>
          <w:color w:val="000000"/>
          <w:sz w:val="24"/>
          <w:szCs w:val="24"/>
        </w:rPr>
        <w:t>【浸出物】</w:t>
      </w:r>
      <w:r>
        <w:rPr>
          <w:rFonts w:hint="eastAsia" w:ascii="Times New Roman" w:hAnsi="Times New Roman"/>
          <w:color w:val="000000"/>
          <w:sz w:val="24"/>
          <w:szCs w:val="24"/>
        </w:rPr>
        <w:t>照醇溶性浸出物测定法</w:t>
      </w:r>
      <w:r>
        <w:rPr>
          <w:rFonts w:ascii="Times New Roman" w:hAnsi="Times New Roman"/>
          <w:color w:val="000000"/>
          <w:sz w:val="24"/>
          <w:szCs w:val="24"/>
        </w:rPr>
        <w:t>（</w:t>
      </w:r>
      <w:r>
        <w:rPr>
          <w:rFonts w:hint="eastAsia" w:ascii="Times New Roman" w:hAnsi="Times New Roman"/>
          <w:color w:val="000000"/>
          <w:sz w:val="24"/>
        </w:rPr>
        <w:t>《</w:t>
      </w:r>
      <w:r>
        <w:rPr>
          <w:rFonts w:ascii="Times New Roman" w:hAnsi="Times New Roman"/>
          <w:color w:val="000000"/>
          <w:sz w:val="24"/>
        </w:rPr>
        <w:t>中国药典</w:t>
      </w:r>
      <w:r>
        <w:rPr>
          <w:rFonts w:hint="eastAsia" w:ascii="Times New Roman" w:hAnsi="Times New Roman"/>
          <w:color w:val="000000"/>
          <w:sz w:val="24"/>
        </w:rPr>
        <w:t>》</w:t>
      </w:r>
      <w:r>
        <w:rPr>
          <w:rFonts w:ascii="Times New Roman" w:hAnsi="Times New Roman"/>
          <w:color w:val="000000"/>
          <w:sz w:val="24"/>
        </w:rPr>
        <w:t>20</w:t>
      </w:r>
      <w:r>
        <w:rPr>
          <w:rFonts w:hint="eastAsia" w:ascii="Times New Roman" w:hAnsi="Times New Roman"/>
          <w:color w:val="000000"/>
          <w:sz w:val="24"/>
        </w:rPr>
        <w:t>25</w:t>
      </w:r>
      <w:r>
        <w:rPr>
          <w:rFonts w:ascii="Times New Roman" w:hAnsi="Times New Roman"/>
          <w:color w:val="000000"/>
          <w:sz w:val="24"/>
        </w:rPr>
        <w:t>年版</w:t>
      </w:r>
      <w:r>
        <w:rPr>
          <w:rFonts w:ascii="Times New Roman" w:hAnsi="Times New Roman"/>
          <w:color w:val="000000"/>
          <w:sz w:val="24"/>
          <w:szCs w:val="24"/>
        </w:rPr>
        <w:t>通则2201）</w:t>
      </w:r>
      <w:r>
        <w:rPr>
          <w:rFonts w:hint="eastAsia" w:ascii="Times New Roman" w:hAnsi="Times New Roman"/>
          <w:color w:val="000000"/>
          <w:sz w:val="24"/>
          <w:szCs w:val="24"/>
        </w:rPr>
        <w:t>项下的冷浸法测定，用50%乙醇作溶剂，</w:t>
      </w:r>
      <w:r>
        <w:rPr>
          <w:rFonts w:ascii="Times New Roman" w:hAnsi="Times New Roman"/>
          <w:color w:val="000000"/>
          <w:sz w:val="24"/>
          <w:szCs w:val="24"/>
        </w:rPr>
        <w:t>不得少于</w:t>
      </w:r>
      <w:r>
        <w:rPr>
          <w:rFonts w:hint="eastAsia"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.0 %。</w:t>
      </w:r>
    </w:p>
    <w:p>
      <w:pPr>
        <w:spacing w:line="360" w:lineRule="auto"/>
        <w:ind w:firstLine="360" w:firstLineChars="15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eastAsia="黑体"/>
          <w:color w:val="000000"/>
          <w:sz w:val="24"/>
          <w:szCs w:val="24"/>
        </w:rPr>
        <w:t>【含量测定】</w:t>
      </w:r>
      <w:r>
        <w:rPr>
          <w:rFonts w:ascii="Times New Roman"/>
          <w:color w:val="000000"/>
          <w:sz w:val="24"/>
        </w:rPr>
        <w:t>照高效液相色谱法（</w:t>
      </w:r>
      <w:r>
        <w:rPr>
          <w:rFonts w:hint="eastAsia" w:ascii="Times New Roman" w:hAnsi="Times New Roman"/>
          <w:color w:val="000000"/>
          <w:sz w:val="24"/>
        </w:rPr>
        <w:t>《</w:t>
      </w:r>
      <w:r>
        <w:rPr>
          <w:rFonts w:ascii="Times New Roman" w:hAnsi="Times New Roman"/>
          <w:color w:val="000000"/>
          <w:sz w:val="24"/>
        </w:rPr>
        <w:t>中国药典</w:t>
      </w:r>
      <w:r>
        <w:rPr>
          <w:rFonts w:hint="eastAsia" w:ascii="Times New Roman" w:hAnsi="Times New Roman"/>
          <w:color w:val="000000"/>
          <w:sz w:val="24"/>
        </w:rPr>
        <w:t>》</w:t>
      </w:r>
      <w:r>
        <w:rPr>
          <w:rFonts w:ascii="Times New Roman" w:hAnsi="Times New Roman"/>
          <w:color w:val="000000"/>
          <w:sz w:val="24"/>
        </w:rPr>
        <w:t>20</w:t>
      </w:r>
      <w:r>
        <w:rPr>
          <w:rFonts w:hint="eastAsia" w:ascii="Times New Roman" w:hAnsi="Times New Roman"/>
          <w:color w:val="000000"/>
          <w:sz w:val="24"/>
        </w:rPr>
        <w:t>25</w:t>
      </w:r>
      <w:r>
        <w:rPr>
          <w:rFonts w:ascii="Times New Roman" w:hAnsi="Times New Roman"/>
          <w:color w:val="000000"/>
          <w:sz w:val="24"/>
        </w:rPr>
        <w:t>年版</w:t>
      </w:r>
      <w:r>
        <w:rPr>
          <w:rFonts w:ascii="Times New Roman"/>
          <w:color w:val="000000"/>
          <w:sz w:val="24"/>
        </w:rPr>
        <w:t>通则</w:t>
      </w:r>
      <w:r>
        <w:rPr>
          <w:rFonts w:ascii="Times New Roman" w:hAnsi="Times New Roman"/>
          <w:color w:val="000000"/>
          <w:sz w:val="24"/>
        </w:rPr>
        <w:t>0512</w:t>
      </w:r>
      <w:r>
        <w:rPr>
          <w:rFonts w:ascii="Times New Roman"/>
          <w:color w:val="000000"/>
          <w:sz w:val="24"/>
        </w:rPr>
        <w:t>）测定。</w:t>
      </w:r>
    </w:p>
    <w:p>
      <w:pPr>
        <w:spacing w:line="360" w:lineRule="auto"/>
        <w:ind w:firstLine="4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eastAsia="黑体"/>
          <w:color w:val="000000"/>
          <w:sz w:val="24"/>
          <w:szCs w:val="24"/>
        </w:rPr>
        <w:t>色谱条件与系统适用性试验</w:t>
      </w:r>
      <w:r>
        <w:rPr>
          <w:rFonts w:ascii="Times New Roman" w:hAnsi="Times New Roman"/>
          <w:color w:val="000000"/>
          <w:sz w:val="24"/>
          <w:szCs w:val="24"/>
        </w:rPr>
        <w:t xml:space="preserve"> 以十八烷基硅烷键合硅胶为填充剂；以乙腈</w:t>
      </w:r>
      <w:r>
        <w:rPr>
          <w:rFonts w:hint="eastAsia" w:ascii="Times New Roman" w:hAnsi="Times New Roman"/>
          <w:color w:val="000000"/>
          <w:sz w:val="24"/>
          <w:szCs w:val="24"/>
        </w:rPr>
        <w:t>：</w:t>
      </w:r>
      <w:r>
        <w:rPr>
          <w:rFonts w:ascii="Times New Roman" w:hAnsi="Times New Roman"/>
          <w:color w:val="000000"/>
          <w:sz w:val="24"/>
          <w:szCs w:val="24"/>
        </w:rPr>
        <w:t>0.1 %甲酸溶液（</w:t>
      </w:r>
      <w:r>
        <w:rPr>
          <w:rFonts w:hint="eastAsia" w:ascii="Times New Roman" w:hAnsi="Times New Roman"/>
          <w:color w:val="000000"/>
          <w:sz w:val="24"/>
          <w:szCs w:val="24"/>
        </w:rPr>
        <w:t>23:77</w:t>
      </w:r>
      <w:r>
        <w:rPr>
          <w:rFonts w:ascii="Times New Roman" w:hAnsi="Times New Roman"/>
          <w:color w:val="000000"/>
          <w:sz w:val="24"/>
          <w:szCs w:val="24"/>
        </w:rPr>
        <w:t>）</w:t>
      </w:r>
      <w:r>
        <w:rPr>
          <w:rFonts w:hint="eastAsia" w:ascii="Times New Roman" w:hAnsi="Times New Roman"/>
          <w:color w:val="000000"/>
          <w:sz w:val="24"/>
          <w:szCs w:val="24"/>
        </w:rPr>
        <w:t>为流动相</w:t>
      </w:r>
      <w:r>
        <w:rPr>
          <w:rFonts w:ascii="Times New Roman" w:hAnsi="Times New Roman"/>
          <w:color w:val="000000"/>
          <w:sz w:val="24"/>
          <w:szCs w:val="24"/>
        </w:rPr>
        <w:t>；检测波长为350 nm。理论板数按</w:t>
      </w:r>
      <w:r>
        <w:rPr>
          <w:rFonts w:ascii="Times New Roman" w:hAnsi="Times New Roman"/>
          <w:kern w:val="0"/>
          <w:sz w:val="24"/>
          <w:szCs w:val="24"/>
        </w:rPr>
        <w:t>阿福豆苷</w:t>
      </w:r>
      <w:r>
        <w:rPr>
          <w:rFonts w:ascii="Times New Roman" w:hAnsi="Times New Roman"/>
          <w:color w:val="000000"/>
          <w:sz w:val="24"/>
          <w:szCs w:val="24"/>
        </w:rPr>
        <w:t>峰计算应不低于</w:t>
      </w:r>
      <w:r>
        <w:rPr>
          <w:rFonts w:hint="eastAsia" w:ascii="Times New Roman" w:hAnsi="Times New Roman"/>
          <w:color w:val="000000"/>
          <w:sz w:val="24"/>
          <w:szCs w:val="24"/>
        </w:rPr>
        <w:t>4000</w:t>
      </w:r>
      <w:r>
        <w:rPr>
          <w:rFonts w:ascii="Times New Roman" w:hAnsi="Times New Roman"/>
          <w:color w:val="00000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eastAsia="黑体"/>
          <w:color w:val="000000"/>
          <w:sz w:val="24"/>
          <w:szCs w:val="24"/>
        </w:rPr>
        <w:t>对照品溶液的制备</w:t>
      </w:r>
      <w:r>
        <w:rPr>
          <w:rFonts w:ascii="Times New Roman" w:hAnsi="Times New Roman"/>
          <w:color w:val="000000"/>
          <w:sz w:val="24"/>
          <w:szCs w:val="24"/>
        </w:rPr>
        <w:t xml:space="preserve">  取</w:t>
      </w:r>
      <w:r>
        <w:rPr>
          <w:rFonts w:ascii="Times New Roman" w:hAnsi="Times New Roman"/>
          <w:kern w:val="0"/>
          <w:sz w:val="24"/>
          <w:szCs w:val="24"/>
        </w:rPr>
        <w:t>阿福豆苷对</w:t>
      </w:r>
      <w:r>
        <w:rPr>
          <w:rFonts w:ascii="Times New Roman" w:hAnsi="Times New Roman"/>
          <w:color w:val="000000"/>
          <w:sz w:val="24"/>
          <w:szCs w:val="24"/>
        </w:rPr>
        <w:t>照品适量，精密称定，加甲醇</w:t>
      </w:r>
      <w:r>
        <w:rPr>
          <w:rFonts w:ascii="Times New Roman" w:hAnsi="Times New Roman"/>
          <w:kern w:val="0"/>
          <w:sz w:val="24"/>
          <w:szCs w:val="24"/>
        </w:rPr>
        <w:t>制成每1 m</w:t>
      </w:r>
      <w:r>
        <w:rPr>
          <w:rFonts w:hint="eastAsia" w:ascii="Times New Roman" w:hAnsi="Times New Roman"/>
          <w:kern w:val="0"/>
          <w:sz w:val="24"/>
          <w:szCs w:val="24"/>
        </w:rPr>
        <w:t>l</w:t>
      </w:r>
      <w:r>
        <w:rPr>
          <w:rFonts w:ascii="Times New Roman" w:hAnsi="Times New Roman"/>
          <w:kern w:val="0"/>
          <w:sz w:val="24"/>
          <w:szCs w:val="24"/>
        </w:rPr>
        <w:t>含0.2 mg的溶液，</w:t>
      </w:r>
      <w:r>
        <w:rPr>
          <w:rFonts w:ascii="Times New Roman" w:hAnsi="Times New Roman"/>
          <w:color w:val="000000"/>
          <w:sz w:val="24"/>
          <w:szCs w:val="24"/>
        </w:rPr>
        <w:t>即得。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eastAsia="黑体"/>
          <w:color w:val="000000"/>
          <w:sz w:val="24"/>
          <w:szCs w:val="24"/>
        </w:rPr>
        <w:t>供试品溶液的制备</w:t>
      </w:r>
      <w:r>
        <w:rPr>
          <w:rFonts w:ascii="Times New Roman" w:hAnsi="Times New Roman"/>
          <w:color w:val="000000"/>
          <w:sz w:val="24"/>
          <w:szCs w:val="24"/>
        </w:rPr>
        <w:t xml:space="preserve">  取本品粉末（过三号筛）约 1 g，精密称定，置具塞锥形瓶中，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精密加入甲醇25 m</w:t>
      </w:r>
      <w:r>
        <w:rPr>
          <w:rFonts w:hint="eastAsia" w:ascii="Times New Roman" w:hAnsi="Times New Roman"/>
          <w:color w:val="000000"/>
          <w:kern w:val="0"/>
          <w:sz w:val="24"/>
          <w:szCs w:val="24"/>
          <w:lang w:bidi="ar"/>
        </w:rPr>
        <w:t>l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，密塞，称定</w:t>
      </w:r>
      <w:r>
        <w:rPr>
          <w:rFonts w:hint="eastAsia" w:ascii="Times New Roman" w:hAnsi="Times New Roman"/>
          <w:color w:val="000000"/>
          <w:kern w:val="0"/>
          <w:sz w:val="24"/>
          <w:szCs w:val="24"/>
          <w:lang w:bidi="ar"/>
        </w:rPr>
        <w:t>重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量，超声处理（功率500 W，频率40 kHz）45</w:t>
      </w:r>
      <w:r>
        <w:rPr>
          <w:rFonts w:hint="eastAsia" w:ascii="Times New Roman" w:hAnsi="Times New Roman"/>
          <w:color w:val="000000"/>
          <w:kern w:val="0"/>
          <w:sz w:val="24"/>
          <w:szCs w:val="24"/>
          <w:lang w:bidi="ar"/>
        </w:rPr>
        <w:t>分钟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，放冷，再称定重量，用甲醇补足</w:t>
      </w:r>
      <w:r>
        <w:rPr>
          <w:rFonts w:hint="eastAsia" w:ascii="Times New Roman" w:hAnsi="Times New Roman"/>
          <w:color w:val="000000"/>
          <w:kern w:val="0"/>
          <w:sz w:val="24"/>
          <w:szCs w:val="24"/>
          <w:lang w:bidi="ar"/>
        </w:rPr>
        <w:t>减失的重</w:t>
      </w:r>
      <w:r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量，</w:t>
      </w:r>
      <w:r>
        <w:rPr>
          <w:rFonts w:ascii="Times New Roman" w:hAnsi="Times New Roman"/>
          <w:color w:val="000000"/>
          <w:sz w:val="24"/>
          <w:szCs w:val="24"/>
        </w:rPr>
        <w:t>摇匀，滤过，取续滤液，即得。</w:t>
      </w:r>
    </w:p>
    <w:p>
      <w:pPr>
        <w:spacing w:line="360" w:lineRule="auto"/>
        <w:ind w:firstLine="480" w:firstLineChars="20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eastAsia="黑体"/>
          <w:color w:val="000000"/>
          <w:sz w:val="24"/>
          <w:szCs w:val="24"/>
        </w:rPr>
        <w:t>测定法</w:t>
      </w:r>
      <w:r>
        <w:rPr>
          <w:rFonts w:ascii="Times New Roman" w:hAnsi="Times New Roman"/>
          <w:color w:val="000000"/>
          <w:sz w:val="24"/>
          <w:szCs w:val="24"/>
        </w:rPr>
        <w:t xml:space="preserve">  分别精密吸取对照品溶液与供试品溶液各10 µ</w:t>
      </w:r>
      <w:r>
        <w:rPr>
          <w:rFonts w:hint="eastAsia"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，注入液相色谱仪，测定，即得。</w:t>
      </w:r>
    </w:p>
    <w:p>
      <w:pPr>
        <w:spacing w:line="360" w:lineRule="auto"/>
        <w:ind w:firstLine="4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本品按干燥品计算，含阿福豆苷</w:t>
      </w:r>
      <w:r>
        <w:rPr>
          <w:rFonts w:hint="eastAsia" w:ascii="Times New Roman" w:hAnsi="Times New Roman"/>
          <w:kern w:val="0"/>
          <w:sz w:val="24"/>
          <w:szCs w:val="24"/>
        </w:rPr>
        <w:t>（</w:t>
      </w:r>
      <w:r>
        <w:rPr>
          <w:rFonts w:ascii="Times New Roman" w:hAnsi="Times New Roman"/>
          <w:kern w:val="0"/>
          <w:sz w:val="24"/>
          <w:szCs w:val="24"/>
        </w:rPr>
        <w:t>C</w:t>
      </w:r>
      <w:r>
        <w:rPr>
          <w:rFonts w:ascii="Times New Roman" w:hAnsi="Times New Roman"/>
          <w:kern w:val="0"/>
          <w:sz w:val="24"/>
          <w:szCs w:val="24"/>
          <w:vertAlign w:val="subscript"/>
        </w:rPr>
        <w:t>21</w:t>
      </w:r>
      <w:r>
        <w:rPr>
          <w:rFonts w:ascii="Times New Roman" w:hAnsi="Times New Roman"/>
          <w:kern w:val="0"/>
          <w:sz w:val="24"/>
          <w:szCs w:val="24"/>
        </w:rPr>
        <w:t>H</w:t>
      </w:r>
      <w:r>
        <w:rPr>
          <w:rFonts w:ascii="Times New Roman" w:hAnsi="Times New Roman"/>
          <w:kern w:val="0"/>
          <w:sz w:val="24"/>
          <w:szCs w:val="24"/>
          <w:vertAlign w:val="subscript"/>
        </w:rPr>
        <w:t>20</w:t>
      </w:r>
      <w:r>
        <w:rPr>
          <w:rFonts w:ascii="Times New Roman" w:hAnsi="Times New Roman"/>
          <w:kern w:val="0"/>
          <w:sz w:val="24"/>
          <w:szCs w:val="24"/>
        </w:rPr>
        <w:t>O</w:t>
      </w:r>
      <w:r>
        <w:rPr>
          <w:rFonts w:ascii="Times New Roman" w:hAnsi="Times New Roman"/>
          <w:kern w:val="0"/>
          <w:sz w:val="24"/>
          <w:szCs w:val="24"/>
          <w:vertAlign w:val="subscript"/>
        </w:rPr>
        <w:t>10</w:t>
      </w:r>
      <w:r>
        <w:rPr>
          <w:rFonts w:hint="eastAsia" w:ascii="Times New Roman" w:hAnsi="Times New Roman"/>
          <w:kern w:val="0"/>
          <w:sz w:val="24"/>
          <w:szCs w:val="24"/>
        </w:rPr>
        <w:t>）</w:t>
      </w:r>
      <w:r>
        <w:rPr>
          <w:rFonts w:ascii="Times New Roman" w:hAnsi="Times New Roman"/>
          <w:kern w:val="0"/>
          <w:sz w:val="24"/>
          <w:szCs w:val="24"/>
        </w:rPr>
        <w:t>不得</w:t>
      </w:r>
      <w:r>
        <w:rPr>
          <w:rFonts w:ascii="Times New Roman" w:hAnsi="Times New Roman"/>
          <w:color w:val="000000"/>
          <w:sz w:val="24"/>
          <w:szCs w:val="24"/>
        </w:rPr>
        <w:t>少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于0.1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%。</w:t>
      </w:r>
    </w:p>
    <w:p>
      <w:pPr>
        <w:spacing w:line="360" w:lineRule="auto"/>
        <w:ind w:firstLine="4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eastAsia="黑体"/>
          <w:color w:val="000000"/>
          <w:sz w:val="24"/>
          <w:szCs w:val="24"/>
        </w:rPr>
        <w:t>【</w:t>
      </w:r>
      <w:r>
        <w:rPr>
          <w:rFonts w:hint="eastAsia" w:ascii="Times New Roman" w:hAnsi="Times New Roman" w:eastAsia="黑体"/>
          <w:color w:val="000000"/>
          <w:sz w:val="24"/>
          <w:szCs w:val="24"/>
        </w:rPr>
        <w:t>炮制</w:t>
      </w:r>
      <w:r>
        <w:rPr>
          <w:rFonts w:ascii="Times New Roman" w:hAnsi="Times New Roman" w:eastAsia="黑体"/>
          <w:color w:val="000000"/>
          <w:sz w:val="24"/>
          <w:szCs w:val="24"/>
        </w:rPr>
        <w:t>】</w:t>
      </w:r>
      <w:r>
        <w:rPr>
          <w:rFonts w:hint="eastAsia" w:ascii="Times New Roman" w:hAnsi="Times New Roman"/>
          <w:kern w:val="0"/>
          <w:sz w:val="24"/>
          <w:szCs w:val="24"/>
        </w:rPr>
        <w:t>除去杂质，切段，干燥。</w:t>
      </w:r>
    </w:p>
    <w:p>
      <w:pPr>
        <w:spacing w:line="360" w:lineRule="auto"/>
        <w:ind w:firstLine="42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eastAsia="黑体"/>
          <w:color w:val="000000"/>
          <w:sz w:val="24"/>
          <w:szCs w:val="24"/>
        </w:rPr>
        <w:t>【性味与归经】</w:t>
      </w:r>
      <w:r>
        <w:rPr>
          <w:rFonts w:ascii="Times New Roman" w:hAnsi="Times New Roman"/>
          <w:kern w:val="0"/>
          <w:sz w:val="24"/>
          <w:szCs w:val="24"/>
        </w:rPr>
        <w:t>辛、微苦，温。归肺、肝、大肠经。</w:t>
      </w:r>
    </w:p>
    <w:p>
      <w:pPr>
        <w:spacing w:line="360" w:lineRule="auto"/>
        <w:ind w:firstLine="42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eastAsia="黑体"/>
          <w:color w:val="000000"/>
          <w:sz w:val="24"/>
          <w:szCs w:val="24"/>
        </w:rPr>
        <w:t>【功能与主治】</w:t>
      </w:r>
      <w:r>
        <w:rPr>
          <w:rFonts w:ascii="Times New Roman" w:hAnsi="Times New Roman"/>
          <w:kern w:val="0"/>
          <w:sz w:val="24"/>
          <w:szCs w:val="24"/>
        </w:rPr>
        <w:t>疏风宣肺，行气止痛，温中止泻。用于感冒发热，咳喘，疝气疼痛，泄泻，痢疾。</w:t>
      </w:r>
    </w:p>
    <w:p>
      <w:pPr>
        <w:spacing w:line="360" w:lineRule="auto"/>
        <w:ind w:firstLine="4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eastAsia="黑体"/>
          <w:color w:val="000000"/>
          <w:sz w:val="24"/>
          <w:szCs w:val="24"/>
        </w:rPr>
        <w:t>【用法与用量】</w:t>
      </w:r>
      <w:r>
        <w:rPr>
          <w:rFonts w:hint="eastAsia" w:ascii="Times New Roman" w:hAnsi="Times New Roman"/>
          <w:sz w:val="24"/>
        </w:rPr>
        <w:t>6</w:t>
      </w:r>
      <w:r>
        <w:rPr>
          <w:rFonts w:ascii="Times New Roman" w:hAnsi="Times New Roman"/>
          <w:sz w:val="24"/>
          <w:szCs w:val="24"/>
        </w:rPr>
        <w:t>～</w:t>
      </w:r>
      <w:r>
        <w:rPr>
          <w:rFonts w:hint="eastAsia" w:ascii="Times New Roman" w:hAnsi="Times New Roman"/>
          <w:sz w:val="24"/>
        </w:rPr>
        <w:t>15g。外用适量，水煎熏洗或研末调涂。</w:t>
      </w:r>
    </w:p>
    <w:p>
      <w:pPr>
        <w:ind w:firstLine="480" w:firstLineChars="0"/>
        <w:jc w:val="both"/>
        <w:rPr>
          <w:rFonts w:ascii="Times New Roman" w:hAnsi="Times New Roman" w:cstheme="minorEastAsia"/>
          <w:color w:val="auto"/>
          <w:szCs w:val="22"/>
          <w:highlight w:val="none"/>
        </w:rPr>
      </w:pPr>
      <w:r>
        <w:rPr>
          <w:rFonts w:ascii="Times New Roman" w:hAnsi="Times New Roman" w:eastAsia="黑体"/>
          <w:color w:val="000000"/>
          <w:sz w:val="24"/>
          <w:szCs w:val="24"/>
        </w:rPr>
        <w:t>【贮藏】</w:t>
      </w:r>
      <w:r>
        <w:rPr>
          <w:rFonts w:ascii="Times New Roman" w:hAnsi="Times New Roman"/>
          <w:color w:val="000000"/>
          <w:sz w:val="24"/>
          <w:szCs w:val="24"/>
        </w:rPr>
        <w:t>置干燥处。</w:t>
      </w:r>
    </w:p>
    <w:p>
      <w:pPr>
        <w:ind w:firstLine="480" w:firstLineChars="0"/>
        <w:jc w:val="both"/>
        <w:rPr>
          <w:color w:val="auto"/>
          <w:highlight w:val="none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AE"/>
    <w:rsid w:val="00011D21"/>
    <w:rsid w:val="000B1258"/>
    <w:rsid w:val="0010574C"/>
    <w:rsid w:val="00136DBE"/>
    <w:rsid w:val="001450B5"/>
    <w:rsid w:val="001A0CB9"/>
    <w:rsid w:val="001F1598"/>
    <w:rsid w:val="001F7B5C"/>
    <w:rsid w:val="00216BAF"/>
    <w:rsid w:val="00241D3E"/>
    <w:rsid w:val="00271068"/>
    <w:rsid w:val="002804AF"/>
    <w:rsid w:val="002B705C"/>
    <w:rsid w:val="002E6496"/>
    <w:rsid w:val="002F47C8"/>
    <w:rsid w:val="00334920"/>
    <w:rsid w:val="003A365B"/>
    <w:rsid w:val="003B26C5"/>
    <w:rsid w:val="003D27A1"/>
    <w:rsid w:val="003E377C"/>
    <w:rsid w:val="0046149D"/>
    <w:rsid w:val="00482678"/>
    <w:rsid w:val="00501922"/>
    <w:rsid w:val="00520EC6"/>
    <w:rsid w:val="00533D64"/>
    <w:rsid w:val="00591D67"/>
    <w:rsid w:val="005F73FE"/>
    <w:rsid w:val="00616FC9"/>
    <w:rsid w:val="0063086E"/>
    <w:rsid w:val="006335B0"/>
    <w:rsid w:val="00676B24"/>
    <w:rsid w:val="006B416E"/>
    <w:rsid w:val="006B5673"/>
    <w:rsid w:val="00724DD0"/>
    <w:rsid w:val="00742DC9"/>
    <w:rsid w:val="00755F08"/>
    <w:rsid w:val="00767815"/>
    <w:rsid w:val="00827BF2"/>
    <w:rsid w:val="008A5DC5"/>
    <w:rsid w:val="008B7C18"/>
    <w:rsid w:val="008F63E1"/>
    <w:rsid w:val="00902D8C"/>
    <w:rsid w:val="00926CBE"/>
    <w:rsid w:val="0095049C"/>
    <w:rsid w:val="009A723A"/>
    <w:rsid w:val="009E2DAE"/>
    <w:rsid w:val="009F6581"/>
    <w:rsid w:val="00A3226E"/>
    <w:rsid w:val="00AA3A5E"/>
    <w:rsid w:val="00AC2F2B"/>
    <w:rsid w:val="00B123BA"/>
    <w:rsid w:val="00B32DF1"/>
    <w:rsid w:val="00B813B5"/>
    <w:rsid w:val="00B907B8"/>
    <w:rsid w:val="00BB5A82"/>
    <w:rsid w:val="00C157FA"/>
    <w:rsid w:val="00C421D6"/>
    <w:rsid w:val="00C66031"/>
    <w:rsid w:val="00C775C9"/>
    <w:rsid w:val="00CA79C0"/>
    <w:rsid w:val="00CC2428"/>
    <w:rsid w:val="00CC3729"/>
    <w:rsid w:val="00D4459E"/>
    <w:rsid w:val="00D913D5"/>
    <w:rsid w:val="00DA7414"/>
    <w:rsid w:val="00DB60DF"/>
    <w:rsid w:val="00E06DFC"/>
    <w:rsid w:val="00F232AC"/>
    <w:rsid w:val="00F434FF"/>
    <w:rsid w:val="00F651AC"/>
    <w:rsid w:val="00FB18F8"/>
    <w:rsid w:val="041D2A27"/>
    <w:rsid w:val="057E74F5"/>
    <w:rsid w:val="08BC0A60"/>
    <w:rsid w:val="0AEA2F37"/>
    <w:rsid w:val="0C2A7B00"/>
    <w:rsid w:val="0D6E70B3"/>
    <w:rsid w:val="0FFD3483"/>
    <w:rsid w:val="15C251DC"/>
    <w:rsid w:val="16161084"/>
    <w:rsid w:val="16467BBB"/>
    <w:rsid w:val="175C6F6A"/>
    <w:rsid w:val="17BB6387"/>
    <w:rsid w:val="1A81091F"/>
    <w:rsid w:val="1D4B5AB7"/>
    <w:rsid w:val="1DEF215E"/>
    <w:rsid w:val="204617ED"/>
    <w:rsid w:val="21696E53"/>
    <w:rsid w:val="28321D4D"/>
    <w:rsid w:val="28EF7C3E"/>
    <w:rsid w:val="290A0F1C"/>
    <w:rsid w:val="2A247DBB"/>
    <w:rsid w:val="2B132E66"/>
    <w:rsid w:val="2D3908DE"/>
    <w:rsid w:val="2D557D3A"/>
    <w:rsid w:val="2DB31B82"/>
    <w:rsid w:val="30A6034A"/>
    <w:rsid w:val="32ED1692"/>
    <w:rsid w:val="36274EBB"/>
    <w:rsid w:val="38064FA4"/>
    <w:rsid w:val="386046B4"/>
    <w:rsid w:val="38B8629F"/>
    <w:rsid w:val="3A361B71"/>
    <w:rsid w:val="3B245E6D"/>
    <w:rsid w:val="3BBF51EB"/>
    <w:rsid w:val="3BD11425"/>
    <w:rsid w:val="40C32B0B"/>
    <w:rsid w:val="418C2076"/>
    <w:rsid w:val="4253528A"/>
    <w:rsid w:val="480037BE"/>
    <w:rsid w:val="493D00FA"/>
    <w:rsid w:val="49535B70"/>
    <w:rsid w:val="4B6E6C91"/>
    <w:rsid w:val="4D732EA2"/>
    <w:rsid w:val="4DC71AF1"/>
    <w:rsid w:val="536A2433"/>
    <w:rsid w:val="58CB68F0"/>
    <w:rsid w:val="5A2A46CB"/>
    <w:rsid w:val="5C564D72"/>
    <w:rsid w:val="5D8A2B07"/>
    <w:rsid w:val="5E653F23"/>
    <w:rsid w:val="60A972A5"/>
    <w:rsid w:val="622814F0"/>
    <w:rsid w:val="62CE02E9"/>
    <w:rsid w:val="655F791E"/>
    <w:rsid w:val="660109D5"/>
    <w:rsid w:val="68175516"/>
    <w:rsid w:val="6AE508C6"/>
    <w:rsid w:val="6BF32A3A"/>
    <w:rsid w:val="6CD504C6"/>
    <w:rsid w:val="6E732949"/>
    <w:rsid w:val="6ED8604B"/>
    <w:rsid w:val="6FAF4FA5"/>
    <w:rsid w:val="6FEF7AF1"/>
    <w:rsid w:val="70926DFA"/>
    <w:rsid w:val="73041B05"/>
    <w:rsid w:val="73072720"/>
    <w:rsid w:val="740A314B"/>
    <w:rsid w:val="74E650FF"/>
    <w:rsid w:val="74E7348C"/>
    <w:rsid w:val="76F20731"/>
    <w:rsid w:val="77B70263"/>
    <w:rsid w:val="78694B6F"/>
    <w:rsid w:val="78A7540C"/>
    <w:rsid w:val="7AE85868"/>
    <w:rsid w:val="7B6B0D09"/>
    <w:rsid w:val="7EEA6053"/>
    <w:rsid w:val="7F3177DE"/>
    <w:rsid w:val="7F8F6BFA"/>
    <w:rsid w:val="CFFD5417"/>
    <w:rsid w:val="D9BF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</w:pPr>
    <w:rPr>
      <w:rFonts w:eastAsia="宋体" w:asciiTheme="minorHAnsi" w:hAnsiTheme="minorHAnsi" w:cstheme="minorBidi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0"/>
    <w:unhideWhenUsed/>
    <w:qFormat/>
    <w:uiPriority w:val="99"/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41"/>
    <w:semiHidden/>
    <w:unhideWhenUsed/>
    <w:qFormat/>
    <w:uiPriority w:val="99"/>
    <w:rPr>
      <w:b/>
      <w:bCs/>
    </w:rPr>
  </w:style>
  <w:style w:type="character" w:styleId="19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0">
    <w:name w:val="标题 2 Char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1 Char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2">
    <w:name w:val="标题 3 Char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Char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Char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Char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Char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Char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Char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Char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Char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Char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Char"/>
    <w:basedOn w:val="18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Char"/>
    <w:basedOn w:val="18"/>
    <w:link w:val="13"/>
    <w:qFormat/>
    <w:uiPriority w:val="99"/>
    <w:rPr>
      <w:rFonts w:eastAsia="宋体"/>
      <w:color w:val="000000" w:themeColor="text1"/>
      <w:sz w:val="18"/>
      <w:szCs w:val="18"/>
      <w14:textFill>
        <w14:solidFill>
          <w14:schemeClr w14:val="tx1"/>
        </w14:solidFill>
      </w14:textFill>
    </w:rPr>
  </w:style>
  <w:style w:type="character" w:customStyle="1" w:styleId="39">
    <w:name w:val="页脚 Char"/>
    <w:basedOn w:val="18"/>
    <w:link w:val="12"/>
    <w:qFormat/>
    <w:uiPriority w:val="99"/>
    <w:rPr>
      <w:rFonts w:eastAsia="宋体"/>
      <w:color w:val="000000" w:themeColor="text1"/>
      <w:sz w:val="18"/>
      <w:szCs w:val="18"/>
      <w14:textFill>
        <w14:solidFill>
          <w14:schemeClr w14:val="tx1"/>
        </w14:solidFill>
      </w14:textFill>
    </w:rPr>
  </w:style>
  <w:style w:type="character" w:customStyle="1" w:styleId="40">
    <w:name w:val="批注文字 Char"/>
    <w:basedOn w:val="18"/>
    <w:link w:val="11"/>
    <w:qFormat/>
    <w:uiPriority w:val="99"/>
    <w:rPr>
      <w:rFonts w:eastAsia="宋体"/>
      <w:color w:val="000000" w:themeColor="text1"/>
      <w:kern w:val="2"/>
      <w:sz w:val="24"/>
      <w:szCs w:val="24"/>
      <w14:textFill>
        <w14:solidFill>
          <w14:schemeClr w14:val="tx1"/>
        </w14:solidFill>
      </w14:textFill>
      <w14:ligatures w14:val="standardContextual"/>
    </w:rPr>
  </w:style>
  <w:style w:type="character" w:customStyle="1" w:styleId="41">
    <w:name w:val="批注主题 Char"/>
    <w:basedOn w:val="40"/>
    <w:link w:val="16"/>
    <w:semiHidden/>
    <w:qFormat/>
    <w:uiPriority w:val="99"/>
    <w:rPr>
      <w:rFonts w:eastAsia="宋体"/>
      <w:b/>
      <w:bCs/>
      <w:color w:val="000000" w:themeColor="text1"/>
      <w:kern w:val="2"/>
      <w:sz w:val="24"/>
      <w:szCs w:val="24"/>
      <w14:textFill>
        <w14:solidFill>
          <w14:schemeClr w14:val="tx1"/>
        </w14:solidFill>
      </w14:textFill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1525</Words>
  <Characters>1789</Characters>
  <Lines>4</Lines>
  <Paragraphs>1</Paragraphs>
  <TotalTime>3</TotalTime>
  <ScaleCrop>false</ScaleCrop>
  <LinksUpToDate>false</LinksUpToDate>
  <CharactersWithSpaces>1850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2025-10-14T08:21:00Z</dcterms:created>
  <dc:creator>wyj17772568369@163.com</dc:creator>
  <cp:lastModifiedBy>gxxc</cp:lastModifiedBy>
  <dcterms:modified xsi:type="dcterms:W3CDTF">2026-08-07T12:00:55Z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eyJoZGlkIjoiNTNhMjNhZmQxNjMyNjA2NzE5YjhmNDc2OTgzZGI1NWYiLCJ1c2VySWQiOiIxMDg4MzMyMTgxIn0=</vt:lpwstr>
  </property>
  <property fmtid="{D5CDD505-2E9C-101B-9397-08002B2CF9AE}" pid="3" name="KSOProductBuildVer">
    <vt:lpwstr>2052-11.8.2.10624</vt:lpwstr>
  </property>
  <property fmtid="{D5CDD505-2E9C-101B-9397-08002B2CF9AE}" pid="4" name="ICV">
    <vt:lpwstr>ECF053D811274D61BE509995F2FA2344_13</vt:lpwstr>
  </property>
</Properties>
</file>